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1"/>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9"/>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0"/>
        <w:jc w:val="center"/>
        <w:textAlignment w:val="auto"/>
        <w:rPr>
          <w:rFonts w:hint="default" w:ascii="Times New Roman" w:hAnsi="Times New Roman" w:eastAsia="方正小标宋简体" w:cs="Times New Roman"/>
          <w:spacing w:val="-4"/>
          <w:sz w:val="44"/>
          <w:szCs w:val="44"/>
          <w:lang w:val="en-US" w:eastAsia="zh-CN"/>
        </w:rPr>
      </w:pPr>
      <w:r>
        <w:rPr>
          <w:rFonts w:hint="eastAsia" w:ascii="Times New Roman" w:hAnsi="Times New Roman" w:eastAsia="方正小标宋简体" w:cs="方正小标宋简体"/>
          <w:spacing w:val="-4"/>
          <w:sz w:val="44"/>
          <w:szCs w:val="44"/>
          <w:lang w:val="en-US" w:eastAsia="zh-CN"/>
        </w:rPr>
        <w:t>关于</w:t>
      </w:r>
      <w:r>
        <w:rPr>
          <w:rFonts w:hint="eastAsia" w:eastAsia="方正小标宋简体" w:cs="Times New Roman"/>
          <w:sz w:val="44"/>
          <w:szCs w:val="44"/>
          <w:lang w:val="en-US" w:eastAsia="zh-CN"/>
        </w:rPr>
        <w:t>西博会工作</w:t>
      </w: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经费</w:t>
      </w:r>
      <w:r>
        <w:rPr>
          <w:rFonts w:hint="eastAsia" w:ascii="Times New Roman" w:hAnsi="Times New Roman" w:eastAsia="方正小标宋简体"/>
          <w:spacing w:val="-4"/>
          <w:sz w:val="44"/>
          <w:szCs w:val="44"/>
          <w:lang w:val="en-US" w:eastAsia="zh-CN"/>
        </w:rPr>
        <w:t>支出绩效自评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leftChars="0" w:right="0" w:rightChars="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89" w:lineRule="exact"/>
        <w:ind w:left="0" w:leftChars="0" w:right="0" w:rightChars="0"/>
        <w:jc w:val="both"/>
        <w:textAlignment w:val="baseline"/>
        <w:outlineLvl w:val="9"/>
        <w:rPr>
          <w:rFonts w:hint="default" w:ascii="Times New Roman" w:hAnsi="Times New Roman" w:eastAsia="仿宋_GB2312" w:cs="Times New Roman"/>
          <w:spacing w:val="-4"/>
          <w:sz w:val="32"/>
          <w:szCs w:val="32"/>
          <w:lang w:val="en-US" w:eastAsia="zh-CN"/>
        </w:rPr>
      </w:pPr>
      <w:r>
        <w:rPr>
          <w:rFonts w:hint="eastAsia" w:ascii="仿宋_GB2312" w:hAnsi="仿宋_GB2312" w:eastAsia="仿宋_GB2312"/>
          <w:color w:val="000000"/>
          <w:spacing w:val="-4"/>
          <w:sz w:val="32"/>
          <w:lang w:val="en-US" w:eastAsia="zh-CN"/>
        </w:rPr>
        <w:t>县</w:t>
      </w:r>
      <w:r>
        <w:rPr>
          <w:rFonts w:hint="eastAsia" w:ascii="仿宋_GB2312" w:hAnsi="仿宋_GB2312" w:eastAsia="仿宋_GB2312"/>
          <w:color w:val="000000"/>
          <w:spacing w:val="-4"/>
          <w:sz w:val="32"/>
        </w:rPr>
        <w:t>财政局</w:t>
      </w:r>
      <w:r>
        <w:rPr>
          <w:rFonts w:hint="default" w:ascii="Times New Roman" w:hAnsi="Times New Roman" w:eastAsia="仿宋_GB2312" w:cs="Times New Roman"/>
          <w:spacing w:val="-4"/>
          <w:sz w:val="32"/>
          <w:szCs w:val="32"/>
          <w:lang w:val="en-US" w:eastAsia="zh-CN"/>
        </w:rPr>
        <w:t>：</w:t>
      </w:r>
    </w:p>
    <w:p>
      <w:pPr>
        <w:pStyle w:val="17"/>
        <w:keepNext w:val="0"/>
        <w:keepLines w:val="0"/>
        <w:pageBreakBefore w:val="0"/>
        <w:widowControl/>
        <w:kinsoku/>
        <w:wordWrap/>
        <w:overflowPunct/>
        <w:topLinePunct w:val="0"/>
        <w:autoSpaceDE/>
        <w:autoSpaceDN/>
        <w:bidi w:val="0"/>
        <w:adjustRightInd w:val="0"/>
        <w:snapToGrid w:val="0"/>
        <w:spacing w:before="0" w:after="0" w:line="590" w:lineRule="exact"/>
        <w:ind w:left="0" w:right="0" w:firstLine="624" w:firstLineChars="200"/>
        <w:jc w:val="both"/>
        <w:textAlignment w:val="baseline"/>
        <w:rPr>
          <w:rFonts w:hint="eastAsia" w:ascii="Times New Roman" w:hAnsi="Times New Roman" w:eastAsia="仿宋_GB2312"/>
          <w:color w:val="000000"/>
          <w:spacing w:val="-4"/>
          <w:sz w:val="32"/>
          <w:lang w:eastAsia="zh-CN"/>
        </w:rPr>
      </w:pPr>
      <w:r>
        <w:rPr>
          <w:rFonts w:hint="eastAsia" w:ascii="Times New Roman" w:hAnsi="Times New Roman" w:eastAsia="仿宋_GB2312"/>
          <w:color w:val="000000"/>
          <w:spacing w:val="-4"/>
          <w:sz w:val="32"/>
        </w:rPr>
        <w:t>根据《大英县财政局关于开展202</w:t>
      </w:r>
      <w:r>
        <w:rPr>
          <w:rFonts w:hint="eastAsia" w:ascii="Times New Roman" w:hAnsi="Times New Roman" w:eastAsia="仿宋_GB2312"/>
          <w:color w:val="000000"/>
          <w:spacing w:val="-4"/>
          <w:sz w:val="32"/>
          <w:lang w:val="en-US" w:eastAsia="zh-CN"/>
        </w:rPr>
        <w:t>4</w:t>
      </w:r>
      <w:r>
        <w:rPr>
          <w:rFonts w:hint="eastAsia" w:ascii="Times New Roman" w:hAnsi="Times New Roman" w:eastAsia="仿宋_GB2312"/>
          <w:color w:val="000000"/>
          <w:spacing w:val="-4"/>
          <w:sz w:val="32"/>
        </w:rPr>
        <w:t>年部门、项目</w:t>
      </w:r>
      <w:r>
        <w:rPr>
          <w:rFonts w:hint="eastAsia" w:ascii="Times New Roman" w:hAnsi="Times New Roman" w:eastAsia="仿宋_GB2312"/>
          <w:color w:val="000000"/>
          <w:spacing w:val="-4"/>
          <w:sz w:val="32"/>
          <w:lang w:eastAsia="zh-CN"/>
        </w:rPr>
        <w:t>、</w:t>
      </w:r>
      <w:r>
        <w:rPr>
          <w:rFonts w:hint="eastAsia" w:ascii="Times New Roman" w:hAnsi="Times New Roman" w:eastAsia="仿宋_GB2312"/>
          <w:color w:val="000000"/>
          <w:spacing w:val="-4"/>
          <w:sz w:val="32"/>
          <w:lang w:val="en-US" w:eastAsia="zh-CN"/>
        </w:rPr>
        <w:t>政策</w:t>
      </w:r>
      <w:r>
        <w:rPr>
          <w:rFonts w:hint="eastAsia" w:ascii="Times New Roman" w:hAnsi="Times New Roman" w:eastAsia="仿宋_GB2312"/>
          <w:color w:val="000000"/>
          <w:spacing w:val="-4"/>
          <w:sz w:val="32"/>
        </w:rPr>
        <w:t>支出绩效自评工作的通知》（大财发〔202</w:t>
      </w:r>
      <w:r>
        <w:rPr>
          <w:rFonts w:hint="eastAsia" w:ascii="Times New Roman" w:hAnsi="Times New Roman" w:eastAsia="仿宋_GB2312"/>
          <w:color w:val="000000"/>
          <w:spacing w:val="-4"/>
          <w:sz w:val="32"/>
          <w:lang w:val="en-US" w:eastAsia="zh-CN"/>
        </w:rPr>
        <w:t>4</w:t>
      </w:r>
      <w:r>
        <w:rPr>
          <w:rFonts w:hint="eastAsia" w:ascii="Times New Roman" w:hAnsi="Times New Roman" w:eastAsia="仿宋_GB2312"/>
          <w:color w:val="000000"/>
          <w:spacing w:val="-4"/>
          <w:sz w:val="32"/>
        </w:rPr>
        <w:t>〕</w:t>
      </w:r>
      <w:r>
        <w:rPr>
          <w:rFonts w:hint="eastAsia" w:ascii="Times New Roman" w:hAnsi="Times New Roman" w:eastAsia="仿宋_GB2312"/>
          <w:color w:val="000000"/>
          <w:spacing w:val="-4"/>
          <w:sz w:val="32"/>
          <w:lang w:val="en-US" w:eastAsia="zh-CN"/>
        </w:rPr>
        <w:t>87</w:t>
      </w:r>
      <w:r>
        <w:rPr>
          <w:rFonts w:hint="eastAsia" w:ascii="Times New Roman" w:hAnsi="Times New Roman" w:eastAsia="仿宋_GB2312"/>
          <w:color w:val="000000"/>
          <w:spacing w:val="-4"/>
          <w:sz w:val="32"/>
        </w:rPr>
        <w:t>号）文件要求，我局高度重视，立即落实专人组织开展此项工作。现将我局</w:t>
      </w:r>
      <w:r>
        <w:rPr>
          <w:rFonts w:hint="eastAsia" w:ascii="Times New Roman" w:hAnsi="Times New Roman" w:eastAsia="仿宋_GB2312"/>
          <w:color w:val="000000"/>
          <w:spacing w:val="-4"/>
          <w:sz w:val="32"/>
          <w:lang w:val="en-US" w:eastAsia="zh-CN"/>
        </w:rPr>
        <w:t>西博会工作经费</w:t>
      </w:r>
      <w:r>
        <w:rPr>
          <w:rFonts w:hint="eastAsia" w:ascii="Times New Roman" w:hAnsi="Times New Roman" w:eastAsia="仿宋_GB2312"/>
          <w:color w:val="000000"/>
          <w:spacing w:val="-4"/>
          <w:sz w:val="32"/>
        </w:rPr>
        <w:t>支出绩效情况报告如下。</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cs="黑体"/>
          <w:spacing w:val="-4"/>
          <w:sz w:val="32"/>
        </w:rPr>
      </w:pPr>
      <w:r>
        <w:rPr>
          <w:rFonts w:hint="eastAsia" w:ascii="Times New Roman" w:hAnsi="Times New Roman" w:eastAsia="黑体" w:cs="黑体"/>
          <w:spacing w:val="-4"/>
          <w:sz w:val="32"/>
        </w:rPr>
        <w:t>一、项目概况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cs="楷体_GB2312"/>
          <w:b/>
          <w:bCs w:val="0"/>
          <w:spacing w:val="-4"/>
          <w:sz w:val="32"/>
        </w:rPr>
      </w:pPr>
      <w:r>
        <w:rPr>
          <w:rFonts w:hint="eastAsia" w:ascii="Times New Roman" w:hAnsi="Times New Roman" w:eastAsia="楷体_GB2312" w:cs="楷体_GB2312"/>
          <w:b/>
          <w:bCs w:val="0"/>
          <w:spacing w:val="-4"/>
          <w:sz w:val="32"/>
        </w:rPr>
        <w:t>（一）项目基本情况</w:t>
      </w:r>
    </w:p>
    <w:p>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590" w:lineRule="exact"/>
        <w:ind w:left="0" w:right="0" w:firstLine="627" w:firstLineChars="200"/>
        <w:jc w:val="both"/>
        <w:rPr>
          <w:rFonts w:hint="eastAsia" w:ascii="Times New Roman" w:hAnsi="Times New Roman" w:eastAsia="仿宋_GB2312" w:cstheme="minorBidi"/>
          <w:color w:val="000000"/>
          <w:spacing w:val="-4"/>
          <w:kern w:val="2"/>
          <w:sz w:val="32"/>
          <w:szCs w:val="24"/>
          <w:lang w:val="en-US" w:eastAsia="zh-CN" w:bidi="ar-SA"/>
        </w:rPr>
      </w:pPr>
      <w:r>
        <w:rPr>
          <w:rFonts w:hint="eastAsia" w:ascii="Times New Roman" w:hAnsi="Times New Roman" w:eastAsia="仿宋_GB2312"/>
          <w:b/>
          <w:color w:val="000000"/>
          <w:spacing w:val="-4"/>
          <w:sz w:val="32"/>
          <w:lang w:val="en-US" w:eastAsia="zh-CN"/>
        </w:rPr>
        <w:t>1.基本概况。</w:t>
      </w:r>
      <w:r>
        <w:rPr>
          <w:rFonts w:hint="eastAsia" w:ascii="Times New Roman" w:hAnsi="Times New Roman" w:eastAsia="仿宋_GB2312"/>
          <w:b w:val="0"/>
          <w:bCs/>
          <w:color w:val="000000"/>
          <w:spacing w:val="-4"/>
          <w:sz w:val="32"/>
          <w:lang w:val="en-US" w:eastAsia="zh-CN"/>
        </w:rPr>
        <w:t>2023年，</w:t>
      </w:r>
      <w:r>
        <w:rPr>
          <w:rFonts w:hint="eastAsia" w:ascii="Times New Roman" w:hAnsi="Times New Roman" w:eastAsia="仿宋_GB2312"/>
          <w:spacing w:val="-4"/>
          <w:sz w:val="32"/>
          <w:szCs w:val="32"/>
        </w:rPr>
        <w:t>第十九届中国西部国际博览会（以下简称“第十九届西博会”）在成都中国西部国际博览城举办</w:t>
      </w:r>
      <w:r>
        <w:rPr>
          <w:rFonts w:hint="eastAsia" w:ascii="Times New Roman" w:hAnsi="Times New Roman" w:eastAsia="仿宋_GB2312"/>
          <w:spacing w:val="-4"/>
          <w:sz w:val="32"/>
          <w:szCs w:val="32"/>
          <w:lang w:eastAsia="zh-CN"/>
        </w:rPr>
        <w:t>，</w:t>
      </w:r>
      <w:r>
        <w:rPr>
          <w:rFonts w:hint="eastAsia" w:ascii="Times New Roman" w:hAnsi="Times New Roman" w:eastAsia="仿宋_GB2312"/>
          <w:spacing w:val="-4"/>
          <w:sz w:val="32"/>
          <w:szCs w:val="32"/>
        </w:rPr>
        <w:t>根据《遂宁市商务局关于印发&lt;遂宁市参加第十九届中国西部国际博览会展览展示工作资金统筹方案&gt;的通知》（遂商务发〔2023〕15号）</w:t>
      </w:r>
      <w:r>
        <w:rPr>
          <w:rFonts w:hint="eastAsia" w:ascii="Times New Roman" w:hAnsi="Times New Roman" w:eastAsia="仿宋_GB2312"/>
          <w:spacing w:val="-4"/>
          <w:sz w:val="32"/>
          <w:szCs w:val="32"/>
          <w:lang w:eastAsia="zh-CN"/>
        </w:rPr>
        <w:t>要求</w:t>
      </w:r>
      <w:r>
        <w:rPr>
          <w:rFonts w:hint="eastAsia" w:ascii="Times New Roman" w:hAnsi="Times New Roman" w:eastAsia="仿宋_GB2312"/>
          <w:spacing w:val="-4"/>
          <w:sz w:val="32"/>
          <w:szCs w:val="32"/>
        </w:rPr>
        <w:t>，我县承担“遂宁馆”展位租金、展馆设计搭建费用21万元。</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200"/>
        <w:textAlignment w:val="baseline"/>
        <w:rPr>
          <w:rFonts w:hint="eastAsia" w:ascii="Times New Roman" w:hAnsi="Times New Roman" w:eastAsia="仿宋_GB2312"/>
          <w:color w:val="000000" w:themeColor="text1"/>
          <w:spacing w:val="-4"/>
          <w:sz w:val="32"/>
          <w:lang w:eastAsia="zh-CN"/>
          <w14:textFill>
            <w14:solidFill>
              <w14:schemeClr w14:val="tx1"/>
            </w14:solidFill>
          </w14:textFill>
        </w:rPr>
      </w:pPr>
      <w:r>
        <w:rPr>
          <w:rFonts w:hint="eastAsia" w:ascii="Times New Roman" w:hAnsi="Times New Roman" w:eastAsia="仿宋_GB2312"/>
          <w:b/>
          <w:color w:val="000000"/>
          <w:spacing w:val="-4"/>
          <w:sz w:val="32"/>
          <w:lang w:val="en-US" w:eastAsia="zh-CN"/>
        </w:rPr>
        <w:t>2</w:t>
      </w:r>
      <w:r>
        <w:rPr>
          <w:rFonts w:hint="eastAsia" w:ascii="Times New Roman" w:hAnsi="Times New Roman" w:eastAsia="仿宋_GB2312"/>
          <w:b/>
          <w:color w:val="000000"/>
          <w:spacing w:val="-4"/>
          <w:sz w:val="32"/>
        </w:rPr>
        <w:t>.资金申报的依据。</w:t>
      </w:r>
      <w:r>
        <w:rPr>
          <w:rFonts w:hint="eastAsia" w:ascii="Times New Roman" w:hAnsi="Times New Roman" w:eastAsia="仿宋_GB2312"/>
          <w:spacing w:val="-4"/>
          <w:sz w:val="32"/>
          <w:szCs w:val="32"/>
        </w:rPr>
        <w:t>遂商务发〔2023〕15号</w:t>
      </w:r>
      <w:r>
        <w:rPr>
          <w:rFonts w:hint="eastAsia" w:ascii="Times New Roman" w:hAnsi="Times New Roman" w:eastAsia="仿宋_GB2312"/>
          <w:spacing w:val="-4"/>
        </w:rPr>
        <w:t xml:space="preserve"> </w:t>
      </w:r>
      <w:r>
        <w:rPr>
          <w:rFonts w:hint="eastAsia" w:ascii="Times New Roman" w:hAnsi="Times New Roman" w:eastAsia="仿宋_GB2312"/>
          <w:spacing w:val="-4"/>
          <w:lang w:eastAsia="zh-CN"/>
        </w:rPr>
        <w:t>、</w:t>
      </w:r>
      <w:r>
        <w:rPr>
          <w:rFonts w:hint="eastAsia" w:ascii="Times New Roman" w:hAnsi="Times New Roman" w:eastAsia="仿宋_GB2312"/>
          <w:color w:val="000000" w:themeColor="text1"/>
          <w:spacing w:val="-4"/>
          <w:sz w:val="32"/>
          <w:lang w:val="en-US" w:eastAsia="zh-CN"/>
          <w14:textFill>
            <w14:solidFill>
              <w14:schemeClr w14:val="tx1"/>
            </w14:solidFill>
          </w14:textFill>
        </w:rPr>
        <w:t>大商务经合</w:t>
      </w:r>
      <w:r>
        <w:rPr>
          <w:rFonts w:hint="eastAsia" w:ascii="Times New Roman" w:hAnsi="Times New Roman" w:eastAsia="仿宋_GB2312"/>
          <w:color w:val="000000" w:themeColor="text1"/>
          <w:spacing w:val="-4"/>
          <w:sz w:val="32"/>
          <w14:textFill>
            <w14:solidFill>
              <w14:schemeClr w14:val="tx1"/>
            </w14:solidFill>
          </w14:textFill>
        </w:rPr>
        <w:t>〔20</w:t>
      </w:r>
      <w:r>
        <w:rPr>
          <w:rFonts w:hint="eastAsia" w:ascii="Times New Roman" w:hAnsi="Times New Roman" w:eastAsia="仿宋_GB2312"/>
          <w:color w:val="000000" w:themeColor="text1"/>
          <w:spacing w:val="-4"/>
          <w:sz w:val="32"/>
          <w:lang w:val="en-US" w:eastAsia="zh-CN"/>
          <w14:textFill>
            <w14:solidFill>
              <w14:schemeClr w14:val="tx1"/>
            </w14:solidFill>
          </w14:textFill>
        </w:rPr>
        <w:t>23</w:t>
      </w:r>
      <w:r>
        <w:rPr>
          <w:rFonts w:hint="eastAsia" w:ascii="Times New Roman" w:hAnsi="Times New Roman" w:eastAsia="仿宋_GB2312"/>
          <w:color w:val="000000" w:themeColor="text1"/>
          <w:spacing w:val="-4"/>
          <w:sz w:val="32"/>
          <w14:textFill>
            <w14:solidFill>
              <w14:schemeClr w14:val="tx1"/>
            </w14:solidFill>
          </w14:textFill>
        </w:rPr>
        <w:t>〕</w:t>
      </w:r>
      <w:r>
        <w:rPr>
          <w:rFonts w:hint="eastAsia" w:ascii="Times New Roman" w:hAnsi="Times New Roman" w:eastAsia="仿宋_GB2312"/>
          <w:color w:val="000000" w:themeColor="text1"/>
          <w:spacing w:val="-4"/>
          <w:sz w:val="32"/>
          <w:lang w:val="en-US" w:eastAsia="zh-CN"/>
          <w14:textFill>
            <w14:solidFill>
              <w14:schemeClr w14:val="tx1"/>
            </w14:solidFill>
          </w14:textFill>
        </w:rPr>
        <w:t>36</w:t>
      </w:r>
      <w:r>
        <w:rPr>
          <w:rFonts w:hint="eastAsia" w:ascii="Times New Roman" w:hAnsi="Times New Roman" w:eastAsia="仿宋_GB2312"/>
          <w:color w:val="000000" w:themeColor="text1"/>
          <w:spacing w:val="-4"/>
          <w:sz w:val="32"/>
          <w14:textFill>
            <w14:solidFill>
              <w14:schemeClr w14:val="tx1"/>
            </w14:solidFill>
          </w14:textFill>
        </w:rPr>
        <w:t>号</w:t>
      </w:r>
      <w:r>
        <w:rPr>
          <w:rFonts w:hint="eastAsia" w:ascii="Times New Roman" w:hAnsi="Times New Roman" w:eastAsia="仿宋_GB2312"/>
          <w:color w:val="000000" w:themeColor="text1"/>
          <w:spacing w:val="-4"/>
          <w:sz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firstLine="624" w:firstLineChars="200"/>
        <w:textAlignment w:val="baseline"/>
        <w:rPr>
          <w:rFonts w:hint="eastAsia" w:ascii="Times New Roman" w:hAnsi="Times New Roman" w:eastAsia="仿宋_GB2312"/>
          <w:spacing w:val="-4"/>
          <w:sz w:val="32"/>
          <w:lang w:val="en-US" w:eastAsia="zh-CN"/>
        </w:rPr>
        <w:sectPr>
          <w:pgSz w:w="11906" w:h="16838"/>
          <w:pgMar w:top="1928" w:right="1474" w:bottom="1928" w:left="1587" w:header="851" w:footer="992" w:gutter="0"/>
          <w:pgNumType w:fmt="decimal" w:start="2"/>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90" w:lineRule="exact"/>
        <w:ind w:firstLine="624" w:firstLineChars="200"/>
        <w:textAlignment w:val="baseline"/>
        <w:rPr>
          <w:rFonts w:hint="eastAsia" w:ascii="Times New Roman" w:hAnsi="Times New Roman" w:eastAsia="仿宋_GB2312"/>
          <w:b w:val="0"/>
          <w:bCs/>
          <w:spacing w:val="-4"/>
          <w:sz w:val="32"/>
          <w:lang w:val="en-US" w:eastAsia="zh-CN"/>
        </w:rPr>
      </w:pPr>
      <w:r>
        <w:rPr>
          <w:rFonts w:hint="eastAsia" w:ascii="Times New Roman" w:hAnsi="Times New Roman" w:eastAsia="仿宋_GB2312"/>
          <w:spacing w:val="-4"/>
          <w:sz w:val="32"/>
          <w:lang w:val="en-US" w:eastAsia="zh-CN"/>
        </w:rPr>
        <w:t>3</w:t>
      </w:r>
      <w:r>
        <w:rPr>
          <w:rFonts w:hint="eastAsia" w:ascii="Times New Roman" w:hAnsi="Times New Roman" w:eastAsia="仿宋_GB2312"/>
          <w:b/>
          <w:spacing w:val="-4"/>
          <w:sz w:val="32"/>
        </w:rPr>
        <w:t>.资金</w:t>
      </w:r>
      <w:r>
        <w:rPr>
          <w:rFonts w:hint="eastAsia" w:ascii="Times New Roman" w:hAnsi="Times New Roman" w:eastAsia="仿宋_GB2312"/>
          <w:b/>
          <w:spacing w:val="-4"/>
          <w:sz w:val="32"/>
          <w:lang w:val="en-US" w:eastAsia="zh-CN"/>
        </w:rPr>
        <w:t>使用</w:t>
      </w:r>
      <w:r>
        <w:rPr>
          <w:rFonts w:hint="eastAsia" w:ascii="Times New Roman" w:hAnsi="Times New Roman" w:eastAsia="仿宋_GB2312"/>
          <w:b/>
          <w:spacing w:val="-4"/>
          <w:sz w:val="32"/>
        </w:rPr>
        <w:t>的范围</w:t>
      </w:r>
      <w:r>
        <w:rPr>
          <w:rFonts w:hint="eastAsia" w:ascii="Times New Roman" w:hAnsi="Times New Roman" w:eastAsia="仿宋_GB2312"/>
          <w:b/>
          <w:spacing w:val="-4"/>
          <w:sz w:val="32"/>
          <w:lang w:eastAsia="zh-CN"/>
        </w:rPr>
        <w:t>。</w:t>
      </w:r>
      <w:r>
        <w:rPr>
          <w:rFonts w:hint="eastAsia" w:ascii="Times New Roman" w:hAnsi="Times New Roman" w:eastAsia="仿宋_GB2312"/>
          <w:b w:val="0"/>
          <w:bCs/>
          <w:spacing w:val="-4"/>
          <w:sz w:val="32"/>
          <w:lang w:val="en-US" w:eastAsia="zh-CN"/>
        </w:rPr>
        <w:t>第十九届西博会展位租金、展馆设计搭建。</w:t>
      </w:r>
    </w:p>
    <w:p>
      <w:pPr>
        <w:keepNext w:val="0"/>
        <w:keepLines w:val="0"/>
        <w:pageBreakBefore w:val="0"/>
        <w:kinsoku/>
        <w:overflowPunct/>
        <w:topLinePunct w:val="0"/>
        <w:autoSpaceDN/>
        <w:bidi w:val="0"/>
        <w:spacing w:line="590" w:lineRule="exact"/>
        <w:ind w:firstLine="627" w:firstLineChars="200"/>
        <w:rPr>
          <w:rFonts w:hint="eastAsia" w:ascii="Times New Roman" w:hAnsi="Times New Roman" w:eastAsia="楷体_GB2312" w:cs="楷体_GB2312"/>
          <w:b/>
          <w:bCs w:val="0"/>
          <w:spacing w:val="-4"/>
          <w:sz w:val="32"/>
        </w:rPr>
      </w:pPr>
      <w:r>
        <w:rPr>
          <w:rFonts w:hint="eastAsia" w:ascii="Times New Roman" w:hAnsi="Times New Roman" w:eastAsia="楷体_GB2312" w:cs="楷体_GB2312"/>
          <w:b/>
          <w:bCs w:val="0"/>
          <w:spacing w:val="-4"/>
          <w:sz w:val="32"/>
        </w:rPr>
        <w:t>（二）项目绩效目标</w:t>
      </w:r>
    </w:p>
    <w:p>
      <w:pPr>
        <w:keepNext w:val="0"/>
        <w:keepLines w:val="0"/>
        <w:pageBreakBefore w:val="0"/>
        <w:kinsoku/>
        <w:overflowPunct/>
        <w:topLinePunct w:val="0"/>
        <w:autoSpaceDN/>
        <w:bidi w:val="0"/>
        <w:spacing w:line="590" w:lineRule="exact"/>
        <w:ind w:firstLine="627" w:firstLineChars="200"/>
        <w:rPr>
          <w:rFonts w:hint="eastAsia" w:ascii="Times New Roman" w:hAnsi="Times New Roman" w:eastAsia="仿宋"/>
          <w:spacing w:val="-4"/>
          <w:sz w:val="32"/>
          <w:szCs w:val="32"/>
        </w:rPr>
      </w:pPr>
      <w:r>
        <w:rPr>
          <w:rFonts w:hint="eastAsia" w:ascii="Times New Roman" w:hAnsi="Times New Roman" w:eastAsia="仿宋_GB2312"/>
          <w:b/>
          <w:color w:val="000000"/>
          <w:spacing w:val="-4"/>
          <w:sz w:val="32"/>
        </w:rPr>
        <w:t>1.主要内容。</w:t>
      </w:r>
      <w:r>
        <w:rPr>
          <w:rFonts w:hint="eastAsia" w:ascii="Times New Roman" w:hAnsi="Times New Roman" w:eastAsia="仿宋_GB2312"/>
          <w:b w:val="0"/>
          <w:bCs/>
          <w:color w:val="000000"/>
          <w:spacing w:val="-4"/>
          <w:sz w:val="32"/>
          <w:lang w:val="en-US" w:eastAsia="zh-CN"/>
        </w:rPr>
        <w:t>第</w:t>
      </w:r>
      <w:r>
        <w:rPr>
          <w:rFonts w:hint="eastAsia" w:ascii="Times New Roman" w:hAnsi="Times New Roman" w:eastAsia="仿宋_GB2312" w:cstheme="minorBidi"/>
          <w:color w:val="000000" w:themeColor="text1"/>
          <w:spacing w:val="-4"/>
          <w:kern w:val="2"/>
          <w:sz w:val="32"/>
          <w:szCs w:val="24"/>
          <w:lang w:val="en-US" w:eastAsia="zh-CN" w:bidi="ar-SA"/>
          <w14:textFill>
            <w14:solidFill>
              <w14:schemeClr w14:val="tx1"/>
            </w14:solidFill>
          </w14:textFill>
        </w:rPr>
        <w:t>十九届西博会是疫情结束以来第一次线下展会，</w:t>
      </w:r>
      <w:r>
        <w:rPr>
          <w:rFonts w:hint="eastAsia" w:ascii="Times New Roman" w:hAnsi="Times New Roman" w:eastAsia="仿宋_GB2312" w:cs="仿宋_GB2312"/>
          <w:color w:val="000000"/>
          <w:spacing w:val="-4"/>
          <w:kern w:val="0"/>
          <w:sz w:val="32"/>
          <w:szCs w:val="32"/>
          <w:lang w:val="en-US" w:eastAsia="zh-CN" w:bidi="ar"/>
        </w:rPr>
        <w:t>我县企业参展意愿强烈，纷纷主动推荐各自产品参展，</w:t>
      </w:r>
      <w:r>
        <w:rPr>
          <w:rFonts w:hint="eastAsia" w:ascii="Times New Roman" w:hAnsi="Times New Roman" w:eastAsia="仿宋_GB2312" w:cs="仿宋_GB2312"/>
          <w:spacing w:val="-4"/>
          <w:sz w:val="32"/>
          <w:szCs w:val="32"/>
          <w:lang w:val="en-US" w:eastAsia="zh-CN"/>
        </w:rPr>
        <w:t>县商务经合局</w:t>
      </w:r>
      <w:r>
        <w:rPr>
          <w:rFonts w:hint="eastAsia" w:ascii="Times New Roman" w:hAnsi="Times New Roman" w:eastAsia="仿宋_GB2312" w:cstheme="minorBidi"/>
          <w:color w:val="000000" w:themeColor="text1"/>
          <w:spacing w:val="-4"/>
          <w:kern w:val="2"/>
          <w:sz w:val="32"/>
          <w:szCs w:val="24"/>
          <w:lang w:val="en-US" w:eastAsia="zh-CN" w:bidi="ar-SA"/>
          <w14:textFill>
            <w14:solidFill>
              <w14:schemeClr w14:val="tx1"/>
            </w14:solidFill>
          </w14:textFill>
        </w:rPr>
        <w:t>为外经贸企业搭建平台拓展国际市场，组织九家企业参展，切实做好稳外贸工作，</w:t>
      </w:r>
      <w:r>
        <w:rPr>
          <w:rFonts w:hint="eastAsia" w:ascii="Times New Roman" w:hAnsi="Times New Roman" w:eastAsia="仿宋_GB2312" w:cs="仿宋_GB2312"/>
          <w:spacing w:val="-4"/>
          <w:sz w:val="32"/>
          <w:szCs w:val="32"/>
        </w:rPr>
        <w:t>鼓励实绩企业扩大进出口</w:t>
      </w:r>
      <w:r>
        <w:rPr>
          <w:rFonts w:hint="eastAsia" w:ascii="Times New Roman" w:hAnsi="Times New Roman" w:eastAsia="仿宋_GB2312" w:cs="仿宋_GB2312"/>
          <w:spacing w:val="-4"/>
          <w:sz w:val="32"/>
          <w:szCs w:val="32"/>
          <w:lang w:eastAsia="zh-CN"/>
        </w:rPr>
        <w:t>。</w:t>
      </w:r>
    </w:p>
    <w:p>
      <w:pPr>
        <w:keepNext w:val="0"/>
        <w:keepLines w:val="0"/>
        <w:pageBreakBefore w:val="0"/>
        <w:widowControl/>
        <w:kinsoku/>
        <w:wordWrap/>
        <w:overflowPunct/>
        <w:topLinePunct w:val="0"/>
        <w:autoSpaceDE/>
        <w:autoSpaceDN/>
        <w:bidi w:val="0"/>
        <w:adjustRightInd/>
        <w:snapToGrid/>
        <w:spacing w:after="157" w:afterLines="50" w:line="590" w:lineRule="exact"/>
        <w:ind w:firstLine="627" w:firstLineChars="200"/>
        <w:textAlignment w:val="baseline"/>
        <w:rPr>
          <w:rFonts w:hint="eastAsia" w:ascii="Times New Roman" w:hAnsi="Times New Roman" w:eastAsia="仿宋_GB2312"/>
          <w:b/>
          <w:bCs/>
          <w:spacing w:val="-4"/>
          <w:sz w:val="32"/>
        </w:rPr>
      </w:pPr>
      <w:r>
        <w:rPr>
          <w:rFonts w:hint="eastAsia" w:ascii="Times New Roman" w:hAnsi="Times New Roman" w:eastAsia="仿宋_GB2312"/>
          <w:b/>
          <w:bCs/>
          <w:spacing w:val="-4"/>
          <w:sz w:val="32"/>
        </w:rPr>
        <w:t>2.项目应实现的具体绩效目标，包括目标的量化、细化情况以及项目实施进度计划等。</w:t>
      </w:r>
    </w:p>
    <w:tbl>
      <w:tblPr>
        <w:tblStyle w:val="12"/>
        <w:tblW w:w="90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4"/>
        <w:gridCol w:w="1380"/>
        <w:gridCol w:w="3045"/>
        <w:gridCol w:w="794"/>
        <w:gridCol w:w="1077"/>
        <w:gridCol w:w="1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rPr>
            </w:pPr>
            <w:r>
              <w:rPr>
                <w:rFonts w:hint="eastAsia" w:ascii="仿宋_GB2312" w:hAnsi="仿宋_GB2312" w:eastAsia="仿宋_GB2312" w:cs="仿宋_GB2312"/>
                <w:b/>
                <w:bCs/>
                <w:i w:val="0"/>
                <w:iCs w:val="0"/>
                <w:color w:val="000000"/>
                <w:spacing w:val="-4"/>
                <w:kern w:val="0"/>
                <w:sz w:val="28"/>
                <w:szCs w:val="28"/>
                <w:u w:val="none"/>
                <w:lang w:val="en-US" w:eastAsia="zh-CN" w:bidi="ar"/>
              </w:rPr>
              <w:t>一级指标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rPr>
            </w:pPr>
            <w:r>
              <w:rPr>
                <w:rFonts w:hint="eastAsia" w:ascii="仿宋_GB2312" w:hAnsi="仿宋_GB2312" w:eastAsia="仿宋_GB2312" w:cs="仿宋_GB2312"/>
                <w:b/>
                <w:bCs/>
                <w:i w:val="0"/>
                <w:iCs w:val="0"/>
                <w:color w:val="000000"/>
                <w:spacing w:val="-4"/>
                <w:kern w:val="0"/>
                <w:sz w:val="28"/>
                <w:szCs w:val="28"/>
                <w:u w:val="none"/>
                <w:lang w:val="en-US" w:eastAsia="zh-CN" w:bidi="ar"/>
              </w:rPr>
              <w:t>二级指标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rPr>
            </w:pPr>
            <w:r>
              <w:rPr>
                <w:rFonts w:hint="eastAsia" w:ascii="仿宋_GB2312" w:hAnsi="仿宋_GB2312" w:eastAsia="仿宋_GB2312" w:cs="仿宋_GB2312"/>
                <w:b/>
                <w:bCs/>
                <w:i w:val="0"/>
                <w:iCs w:val="0"/>
                <w:color w:val="000000"/>
                <w:spacing w:val="-4"/>
                <w:kern w:val="0"/>
                <w:sz w:val="28"/>
                <w:szCs w:val="28"/>
                <w:u w:val="none"/>
                <w:lang w:val="en-US" w:eastAsia="zh-CN" w:bidi="ar"/>
              </w:rPr>
              <w:t>三级指标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rPr>
            </w:pPr>
            <w:r>
              <w:rPr>
                <w:rFonts w:hint="eastAsia" w:ascii="仿宋_GB2312" w:hAnsi="仿宋_GB2312" w:eastAsia="仿宋_GB2312" w:cs="仿宋_GB2312"/>
                <w:b/>
                <w:bCs/>
                <w:i w:val="0"/>
                <w:iCs w:val="0"/>
                <w:color w:val="000000"/>
                <w:spacing w:val="-4"/>
                <w:kern w:val="0"/>
                <w:sz w:val="28"/>
                <w:szCs w:val="28"/>
                <w:u w:val="none"/>
                <w:lang w:val="en-US" w:eastAsia="zh-CN" w:bidi="ar"/>
              </w:rPr>
              <w:t>指标性质</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rPr>
            </w:pPr>
            <w:r>
              <w:rPr>
                <w:rFonts w:hint="eastAsia" w:ascii="仿宋_GB2312" w:hAnsi="仿宋_GB2312" w:eastAsia="仿宋_GB2312" w:cs="仿宋_GB2312"/>
                <w:b/>
                <w:bCs/>
                <w:i w:val="0"/>
                <w:iCs w:val="0"/>
                <w:color w:val="000000"/>
                <w:spacing w:val="-4"/>
                <w:kern w:val="0"/>
                <w:sz w:val="28"/>
                <w:szCs w:val="28"/>
                <w:u w:val="none"/>
                <w:lang w:val="en-US" w:eastAsia="zh-CN" w:bidi="ar"/>
              </w:rPr>
              <w:t>指标值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sz w:val="28"/>
                <w:szCs w:val="28"/>
                <w:u w:val="none"/>
                <w:lang w:val="en-US"/>
              </w:rPr>
            </w:pPr>
            <w:r>
              <w:rPr>
                <w:rFonts w:hint="eastAsia" w:ascii="仿宋_GB2312" w:hAnsi="仿宋_GB2312" w:eastAsia="仿宋_GB2312" w:cs="仿宋_GB2312"/>
                <w:b/>
                <w:bCs/>
                <w:i w:val="0"/>
                <w:iCs w:val="0"/>
                <w:color w:val="000000"/>
                <w:spacing w:val="-4"/>
                <w:kern w:val="0"/>
                <w:sz w:val="28"/>
                <w:szCs w:val="28"/>
                <w:u w:val="none"/>
                <w:lang w:val="en-US" w:eastAsia="zh-CN" w:bidi="ar"/>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数量指标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第十九届西博会“遂宁馆”展位租金、展馆设计搭建个数</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5个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时效指标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第十九届西博会“遂宁馆”展位租金、展馆设计搭建经费支付及时率</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质量指标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展位租金、展馆设计搭建效果</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经济效益指标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第十九届西博会“遂宁馆”展位租金、展馆设计搭建引流量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满意度指标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服务对象满意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成本指标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经济成本指标</w:t>
            </w:r>
          </w:p>
        </w:tc>
        <w:tc>
          <w:tcPr>
            <w:tcW w:w="3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布展经费成本数</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rPr>
            </w:pPr>
            <w:r>
              <w:rPr>
                <w:rFonts w:hint="eastAsia" w:ascii="仿宋_GB2312" w:hAnsi="仿宋_GB2312" w:eastAsia="仿宋_GB2312" w:cs="仿宋_GB2312"/>
                <w:i w:val="0"/>
                <w:iCs w:val="0"/>
                <w:color w:val="000000"/>
                <w:spacing w:val="-4"/>
                <w:kern w:val="0"/>
                <w:sz w:val="24"/>
                <w:szCs w:val="24"/>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21万元</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仿宋_GB2312" w:eastAsia="仿宋_GB2312" w:cs="仿宋_GB2312"/>
                <w:i w:val="0"/>
                <w:iCs w:val="0"/>
                <w:color w:val="000000"/>
                <w:spacing w:val="-4"/>
                <w:sz w:val="24"/>
                <w:szCs w:val="24"/>
                <w:u w:val="none"/>
                <w:lang w:val="en-US"/>
              </w:rPr>
            </w:pPr>
            <w:r>
              <w:rPr>
                <w:rFonts w:hint="eastAsia" w:ascii="仿宋_GB2312" w:hAnsi="仿宋_GB2312" w:eastAsia="仿宋_GB2312" w:cs="仿宋_GB2312"/>
                <w:i w:val="0"/>
                <w:iCs w:val="0"/>
                <w:color w:val="000000"/>
                <w:spacing w:val="-4"/>
                <w:kern w:val="0"/>
                <w:sz w:val="24"/>
                <w:szCs w:val="24"/>
                <w:u w:val="none"/>
                <w:lang w:val="en-US" w:eastAsia="zh-CN" w:bidi="ar"/>
              </w:rPr>
              <w:t>21万元</w:t>
            </w:r>
          </w:p>
        </w:tc>
      </w:tr>
    </w:tbl>
    <w:p>
      <w:pPr>
        <w:pStyle w:val="14"/>
        <w:keepNext w:val="0"/>
        <w:keepLines w:val="0"/>
        <w:pageBreakBefore w:val="0"/>
        <w:widowControl/>
        <w:numPr>
          <w:ilvl w:val="0"/>
          <w:numId w:val="0"/>
        </w:numPr>
        <w:kinsoku/>
        <w:wordWrap/>
        <w:overflowPunct/>
        <w:topLinePunct w:val="0"/>
        <w:autoSpaceDE/>
        <w:autoSpaceDN/>
        <w:bidi w:val="0"/>
        <w:adjustRightInd w:val="0"/>
        <w:snapToGrid w:val="0"/>
        <w:spacing w:before="157" w:beforeLines="50" w:line="590" w:lineRule="exact"/>
        <w:ind w:right="0" w:firstLine="627" w:firstLineChars="200"/>
        <w:jc w:val="both"/>
        <w:textAlignment w:val="baseline"/>
        <w:rPr>
          <w:rFonts w:hint="eastAsia" w:ascii="Times New Roman" w:hAnsi="Times New Roman" w:eastAsia="仿宋_GB2312"/>
          <w:color w:val="000000"/>
          <w:spacing w:val="-4"/>
          <w:sz w:val="32"/>
        </w:rPr>
      </w:pPr>
      <w:r>
        <w:rPr>
          <w:rFonts w:hint="eastAsia" w:ascii="Times New Roman" w:hAnsi="Times New Roman" w:eastAsia="仿宋_GB2312"/>
          <w:b/>
          <w:color w:val="000000"/>
          <w:spacing w:val="-4"/>
          <w:sz w:val="32"/>
        </w:rPr>
        <w:t>3.分析评价申报内容是否与实际相符，申报目标是否合理可行。</w:t>
      </w:r>
      <w:r>
        <w:rPr>
          <w:rFonts w:hint="default" w:ascii="Times New Roman" w:hAnsi="Times New Roman" w:eastAsia="仿宋_GB2312" w:cs="Times New Roman"/>
          <w:color w:val="000000"/>
          <w:spacing w:val="-4"/>
          <w:sz w:val="32"/>
        </w:rPr>
        <w:t>评价申报内容与实际相符，申报目标合理可行</w:t>
      </w:r>
      <w:r>
        <w:rPr>
          <w:rFonts w:hint="eastAsia" w:ascii="Times New Roman" w:hAnsi="Times New Roman" w:eastAsia="仿宋_GB2312"/>
          <w:color w:val="000000"/>
          <w:spacing w:val="-4"/>
          <w:sz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cs="楷体_GB2312"/>
          <w:b/>
          <w:bCs w:val="0"/>
          <w:color w:val="000000" w:themeColor="text1"/>
          <w:spacing w:val="-4"/>
          <w:sz w:val="32"/>
          <w14:textFill>
            <w14:solidFill>
              <w14:schemeClr w14:val="tx1"/>
            </w14:solidFill>
          </w14:textFill>
        </w:rPr>
      </w:pPr>
      <w:r>
        <w:rPr>
          <w:rFonts w:hint="eastAsia" w:ascii="Times New Roman" w:hAnsi="Times New Roman" w:eastAsia="楷体_GB2312" w:cs="楷体_GB2312"/>
          <w:b/>
          <w:bCs w:val="0"/>
          <w:color w:val="000000" w:themeColor="text1"/>
          <w:spacing w:val="-4"/>
          <w:sz w:val="32"/>
          <w14:textFill>
            <w14:solidFill>
              <w14:schemeClr w14:val="tx1"/>
            </w14:solidFill>
          </w14:textFill>
        </w:rPr>
        <w:t>（三）项目自评步骤及方法</w:t>
      </w:r>
    </w:p>
    <w:p>
      <w:pPr>
        <w:keepNext w:val="0"/>
        <w:keepLines w:val="0"/>
        <w:pageBreakBefore w:val="0"/>
        <w:widowControl w:val="0"/>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Times New Roman"/>
          <w:b w:val="0"/>
          <w:bCs/>
          <w:color w:val="000000"/>
          <w:spacing w:val="-4"/>
          <w:sz w:val="32"/>
          <w:szCs w:val="32"/>
        </w:rPr>
        <w:t>通过核对财务账目等方式，对资金使用进行评价。本次绩效评价采用百分制，各级指标依据其指标权重确定分值，最终得分由各级评价指标得分加总形成。根据最终得分将评价标准分为四个等级:优(得分≥90分);良(80分≤得分&lt;90分);中(60≤得分&lt;80分);差(得分&lt;60分)。</w:t>
      </w:r>
    </w:p>
    <w:p>
      <w:pPr>
        <w:keepNext w:val="0"/>
        <w:keepLines w:val="0"/>
        <w:pageBreakBefore w:val="0"/>
        <w:kinsoku/>
        <w:wordWrap/>
        <w:overflowPunct/>
        <w:topLinePunct w:val="0"/>
        <w:autoSpaceDE/>
        <w:autoSpaceDN/>
        <w:bidi w:val="0"/>
        <w:adjustRightInd w:val="0"/>
        <w:snapToGrid w:val="0"/>
        <w:spacing w:line="590" w:lineRule="exact"/>
        <w:ind w:left="0" w:right="0" w:firstLine="624" w:firstLineChars="200"/>
        <w:jc w:val="both"/>
        <w:rPr>
          <w:rFonts w:hint="eastAsia" w:ascii="Times New Roman" w:hAnsi="Times New Roman" w:eastAsia="黑体"/>
          <w:spacing w:val="-4"/>
          <w:sz w:val="32"/>
        </w:rPr>
      </w:pPr>
      <w:r>
        <w:rPr>
          <w:rFonts w:hint="eastAsia" w:ascii="Times New Roman" w:hAnsi="Times New Roman" w:eastAsia="黑体"/>
          <w:spacing w:val="-4"/>
          <w:sz w:val="32"/>
        </w:rPr>
        <w:t>二、项目资金申报及使用情况</w:t>
      </w:r>
    </w:p>
    <w:p>
      <w:pPr>
        <w:keepNext w:val="0"/>
        <w:keepLines w:val="0"/>
        <w:pageBreakBefore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楷体_GB2312"/>
          <w:b/>
          <w:spacing w:val="-4"/>
          <w:sz w:val="32"/>
        </w:rPr>
      </w:pPr>
      <w:r>
        <w:rPr>
          <w:rFonts w:hint="eastAsia" w:ascii="Times New Roman" w:hAnsi="Times New Roman" w:eastAsia="楷体_GB2312"/>
          <w:b/>
          <w:spacing w:val="-4"/>
          <w:sz w:val="32"/>
        </w:rPr>
        <w:t>（一）项目资金申报及批复情况</w:t>
      </w:r>
    </w:p>
    <w:p>
      <w:pPr>
        <w:pStyle w:val="14"/>
        <w:keepNext w:val="0"/>
        <w:keepLines w:val="0"/>
        <w:pageBreakBefore w:val="0"/>
        <w:numPr>
          <w:ilvl w:val="0"/>
          <w:numId w:val="0"/>
        </w:numPr>
        <w:kinsoku/>
        <w:wordWrap/>
        <w:overflowPunct/>
        <w:topLinePunct w:val="0"/>
        <w:autoSpaceDE/>
        <w:autoSpaceDN/>
        <w:bidi w:val="0"/>
        <w:adjustRightInd w:val="0"/>
        <w:snapToGrid w:val="0"/>
        <w:spacing w:line="590" w:lineRule="exact"/>
        <w:ind w:left="0" w:right="0" w:firstLine="624" w:firstLineChars="200"/>
        <w:jc w:val="both"/>
        <w:rPr>
          <w:rFonts w:hint="default" w:ascii="Times New Roman" w:hAnsi="Times New Roman" w:eastAsia="仿宋_GB2312"/>
          <w:color w:val="000000"/>
          <w:spacing w:val="-4"/>
          <w:sz w:val="32"/>
          <w:lang w:val="en-US"/>
        </w:rPr>
      </w:pPr>
      <w:r>
        <w:rPr>
          <w:rFonts w:hint="eastAsia" w:ascii="Times New Roman" w:hAnsi="Times New Roman" w:eastAsia="仿宋_GB2312"/>
          <w:color w:val="000000"/>
          <w:spacing w:val="-4"/>
          <w:sz w:val="32"/>
          <w:lang w:val="en-US" w:eastAsia="zh-CN"/>
        </w:rPr>
        <w:t>西博会工作经费</w:t>
      </w:r>
      <w:r>
        <w:rPr>
          <w:rFonts w:hint="eastAsia" w:ascii="Times New Roman" w:hAnsi="Times New Roman" w:eastAsia="仿宋_GB2312"/>
          <w:color w:val="000000"/>
          <w:spacing w:val="-4"/>
          <w:sz w:val="32"/>
        </w:rPr>
        <w:t>于20</w:t>
      </w:r>
      <w:r>
        <w:rPr>
          <w:rFonts w:hint="eastAsia" w:ascii="Times New Roman" w:hAnsi="Times New Roman" w:eastAsia="仿宋_GB2312"/>
          <w:color w:val="000000"/>
          <w:spacing w:val="-4"/>
          <w:sz w:val="32"/>
          <w:lang w:val="en-US" w:eastAsia="zh-CN"/>
        </w:rPr>
        <w:t>23</w:t>
      </w:r>
      <w:r>
        <w:rPr>
          <w:rFonts w:hint="eastAsia" w:ascii="Times New Roman" w:hAnsi="Times New Roman" w:eastAsia="仿宋_GB2312"/>
          <w:color w:val="000000"/>
          <w:spacing w:val="-4"/>
          <w:sz w:val="32"/>
        </w:rPr>
        <w:t>年</w:t>
      </w:r>
      <w:r>
        <w:rPr>
          <w:rFonts w:hint="eastAsia" w:ascii="Times New Roman" w:hAnsi="Times New Roman" w:eastAsia="仿宋_GB2312"/>
          <w:color w:val="000000"/>
          <w:spacing w:val="-4"/>
          <w:sz w:val="32"/>
          <w:lang w:val="en-US" w:eastAsia="zh-CN"/>
        </w:rPr>
        <w:t>5月</w:t>
      </w:r>
      <w:r>
        <w:rPr>
          <w:rFonts w:hint="eastAsia" w:ascii="Times New Roman" w:hAnsi="Times New Roman" w:eastAsia="仿宋_GB2312"/>
          <w:color w:val="000000"/>
          <w:spacing w:val="-4"/>
          <w:sz w:val="32"/>
        </w:rPr>
        <w:t>向</w:t>
      </w:r>
      <w:r>
        <w:rPr>
          <w:rFonts w:hint="eastAsia" w:ascii="Times New Roman" w:hAnsi="Times New Roman" w:eastAsia="仿宋_GB2312"/>
          <w:color w:val="000000"/>
          <w:spacing w:val="-4"/>
          <w:sz w:val="32"/>
          <w:lang w:val="en-US" w:eastAsia="zh-CN"/>
        </w:rPr>
        <w:t>县人民政府请示</w:t>
      </w:r>
      <w:r>
        <w:rPr>
          <w:rFonts w:hint="eastAsia" w:ascii="Times New Roman" w:hAnsi="Times New Roman" w:eastAsia="仿宋_GB2312"/>
          <w:color w:val="000000"/>
          <w:spacing w:val="-4"/>
          <w:sz w:val="32"/>
        </w:rPr>
        <w:t>，</w:t>
      </w:r>
      <w:r>
        <w:rPr>
          <w:rFonts w:hint="eastAsia" w:ascii="Times New Roman" w:hAnsi="Times New Roman" w:eastAsia="仿宋_GB2312"/>
          <w:color w:val="000000"/>
          <w:spacing w:val="-4"/>
          <w:sz w:val="32"/>
          <w:lang w:val="en-US" w:eastAsia="zh-CN"/>
        </w:rPr>
        <w:t>县领导同意请示内容并按市上比例解决21万元。</w:t>
      </w:r>
    </w:p>
    <w:p>
      <w:pPr>
        <w:keepNext w:val="0"/>
        <w:keepLines w:val="0"/>
        <w:pageBreakBefore w:val="0"/>
        <w:numPr>
          <w:ilvl w:val="0"/>
          <w:numId w:val="1"/>
        </w:numPr>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楷体_GB2312"/>
          <w:b/>
          <w:spacing w:val="-4"/>
          <w:sz w:val="32"/>
        </w:rPr>
      </w:pPr>
      <w:r>
        <w:rPr>
          <w:rFonts w:hint="eastAsia" w:ascii="Times New Roman" w:hAnsi="Times New Roman" w:eastAsia="楷体_GB2312"/>
          <w:b/>
          <w:spacing w:val="-4"/>
          <w:sz w:val="32"/>
        </w:rPr>
        <w:t>资金计划、到位及使用情况</w:t>
      </w:r>
    </w:p>
    <w:tbl>
      <w:tblPr>
        <w:tblStyle w:val="12"/>
        <w:tblpPr w:leftFromText="180" w:rightFromText="180" w:vertAnchor="text" w:horzAnchor="page" w:tblpXSpec="center" w:tblpY="732"/>
        <w:tblOverlap w:val="never"/>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2895"/>
        <w:gridCol w:w="1750"/>
        <w:gridCol w:w="158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95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项目名称</w:t>
            </w:r>
          </w:p>
        </w:tc>
        <w:tc>
          <w:tcPr>
            <w:tcW w:w="289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县（市、区）财政资金（万元）</w:t>
            </w:r>
          </w:p>
        </w:tc>
        <w:tc>
          <w:tcPr>
            <w:tcW w:w="175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项目单位自筹（万元）</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其他渠道资金（万元）</w:t>
            </w:r>
          </w:p>
        </w:tc>
        <w:tc>
          <w:tcPr>
            <w:tcW w:w="5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95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西博会工作经费</w:t>
            </w:r>
          </w:p>
        </w:tc>
        <w:tc>
          <w:tcPr>
            <w:tcW w:w="289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21</w:t>
            </w:r>
          </w:p>
        </w:tc>
        <w:tc>
          <w:tcPr>
            <w:tcW w:w="175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0</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0</w:t>
            </w:r>
          </w:p>
        </w:tc>
        <w:tc>
          <w:tcPr>
            <w:tcW w:w="5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p>
        </w:tc>
      </w:tr>
    </w:tbl>
    <w:p>
      <w:pPr>
        <w:keepNext w:val="0"/>
        <w:keepLines w:val="0"/>
        <w:pageBreakBefore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仿宋_GB2312"/>
          <w:spacing w:val="-4"/>
          <w:sz w:val="32"/>
        </w:rPr>
      </w:pPr>
      <w:r>
        <w:rPr>
          <w:rFonts w:hint="eastAsia" w:ascii="Times New Roman" w:hAnsi="Times New Roman" w:eastAsia="仿宋_GB2312"/>
          <w:b/>
          <w:spacing w:val="-4"/>
          <w:sz w:val="32"/>
        </w:rPr>
        <w:t>1</w:t>
      </w:r>
      <w:r>
        <w:rPr>
          <w:rFonts w:hint="eastAsia" w:ascii="Times New Roman" w:hAnsi="Times New Roman" w:eastAsia="仿宋_GB2312"/>
          <w:b/>
          <w:spacing w:val="-4"/>
          <w:sz w:val="32"/>
          <w:lang w:val="en-US" w:eastAsia="zh-CN"/>
        </w:rPr>
        <w:t>.</w:t>
      </w:r>
      <w:r>
        <w:rPr>
          <w:rFonts w:hint="eastAsia" w:ascii="Times New Roman" w:hAnsi="Times New Roman" w:eastAsia="仿宋_GB2312"/>
          <w:b/>
          <w:spacing w:val="-4"/>
          <w:sz w:val="32"/>
        </w:rPr>
        <w:t>资金计划</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590" w:lineRule="exact"/>
        <w:ind w:left="0" w:leftChars="0" w:right="0" w:rightChars="0" w:firstLine="627" w:firstLineChars="200"/>
        <w:jc w:val="both"/>
        <w:textAlignment w:val="auto"/>
        <w:outlineLvl w:val="9"/>
        <w:rPr>
          <w:rFonts w:hint="eastAsia" w:ascii="Times New Roman" w:hAnsi="Times New Roman" w:eastAsia="仿宋_GB2312"/>
          <w:spacing w:val="-4"/>
          <w:sz w:val="32"/>
          <w:highlight w:val="yellow"/>
        </w:rPr>
      </w:pPr>
      <w:r>
        <w:rPr>
          <w:rFonts w:hint="eastAsia" w:ascii="Times New Roman" w:hAnsi="Times New Roman" w:eastAsia="仿宋_GB2312"/>
          <w:b/>
          <w:spacing w:val="-4"/>
          <w:sz w:val="32"/>
        </w:rPr>
        <w:t>2.资金到位</w:t>
      </w:r>
    </w:p>
    <w:tbl>
      <w:tblPr>
        <w:tblStyle w:val="12"/>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2585"/>
        <w:gridCol w:w="1950"/>
        <w:gridCol w:w="1575"/>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项目名称</w:t>
            </w:r>
          </w:p>
        </w:tc>
        <w:tc>
          <w:tcPr>
            <w:tcW w:w="258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县级财政资金（万元）</w:t>
            </w:r>
          </w:p>
        </w:tc>
        <w:tc>
          <w:tcPr>
            <w:tcW w:w="195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资金计划（万元）</w:t>
            </w:r>
          </w:p>
        </w:tc>
        <w:tc>
          <w:tcPr>
            <w:tcW w:w="157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资金到位情况</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西博会工作经费</w:t>
            </w:r>
          </w:p>
        </w:tc>
        <w:tc>
          <w:tcPr>
            <w:tcW w:w="258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21</w:t>
            </w:r>
          </w:p>
        </w:tc>
        <w:tc>
          <w:tcPr>
            <w:tcW w:w="195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21</w:t>
            </w:r>
          </w:p>
        </w:tc>
        <w:tc>
          <w:tcPr>
            <w:tcW w:w="157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7" w:beforeLines="50" w:after="157" w:afterLines="50" w:line="590" w:lineRule="exact"/>
        <w:ind w:right="0" w:rightChars="0" w:firstLine="627" w:firstLineChars="200"/>
        <w:jc w:val="both"/>
        <w:textAlignment w:val="baseline"/>
        <w:rPr>
          <w:rFonts w:hint="eastAsia" w:ascii="Times New Roman" w:hAnsi="Times New Roman" w:eastAsia="仿宋_GB2312"/>
          <w:b/>
          <w:color w:val="000000"/>
          <w:spacing w:val="-4"/>
          <w:sz w:val="32"/>
        </w:rPr>
      </w:pPr>
      <w:r>
        <w:rPr>
          <w:rFonts w:hint="eastAsia" w:ascii="Times New Roman" w:hAnsi="Times New Roman" w:eastAsia="仿宋_GB2312"/>
          <w:b/>
          <w:color w:val="000000"/>
          <w:spacing w:val="-4"/>
          <w:sz w:val="32"/>
          <w:lang w:val="en-US" w:eastAsia="zh-CN"/>
        </w:rPr>
        <w:t>3.</w:t>
      </w:r>
      <w:r>
        <w:rPr>
          <w:rFonts w:hint="eastAsia" w:ascii="Times New Roman" w:hAnsi="Times New Roman" w:eastAsia="仿宋_GB2312"/>
          <w:b/>
          <w:color w:val="000000"/>
          <w:spacing w:val="-4"/>
          <w:sz w:val="32"/>
        </w:rPr>
        <w:t>资金使用</w:t>
      </w:r>
    </w:p>
    <w:tbl>
      <w:tblPr>
        <w:tblStyle w:val="12"/>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418"/>
        <w:gridCol w:w="856"/>
        <w:gridCol w:w="915"/>
        <w:gridCol w:w="1019"/>
        <w:gridCol w:w="855"/>
        <w:gridCol w:w="780"/>
        <w:gridCol w:w="843"/>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项目名称</w:t>
            </w:r>
          </w:p>
        </w:tc>
        <w:tc>
          <w:tcPr>
            <w:tcW w:w="141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县统计资金支出情况</w:t>
            </w:r>
          </w:p>
        </w:tc>
        <w:tc>
          <w:tcPr>
            <w:tcW w:w="85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支付安全性</w:t>
            </w:r>
          </w:p>
        </w:tc>
        <w:tc>
          <w:tcPr>
            <w:tcW w:w="91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支付规范性</w:t>
            </w:r>
          </w:p>
        </w:tc>
        <w:tc>
          <w:tcPr>
            <w:tcW w:w="101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支付有效性</w:t>
            </w:r>
          </w:p>
        </w:tc>
        <w:tc>
          <w:tcPr>
            <w:tcW w:w="85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支付标准</w:t>
            </w:r>
          </w:p>
        </w:tc>
        <w:tc>
          <w:tcPr>
            <w:tcW w:w="78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支付进度</w:t>
            </w:r>
          </w:p>
        </w:tc>
        <w:tc>
          <w:tcPr>
            <w:tcW w:w="843"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支付依据</w:t>
            </w:r>
          </w:p>
        </w:tc>
        <w:tc>
          <w:tcPr>
            <w:tcW w:w="108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是否与预算相符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西博会工作经费</w:t>
            </w:r>
          </w:p>
        </w:tc>
        <w:tc>
          <w:tcPr>
            <w:tcW w:w="141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已于2023年12月26日支付完毕</w:t>
            </w:r>
          </w:p>
        </w:tc>
        <w:tc>
          <w:tcPr>
            <w:tcW w:w="85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安全</w:t>
            </w:r>
          </w:p>
        </w:tc>
        <w:tc>
          <w:tcPr>
            <w:tcW w:w="91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规范</w:t>
            </w:r>
          </w:p>
        </w:tc>
        <w:tc>
          <w:tcPr>
            <w:tcW w:w="101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有效</w:t>
            </w:r>
          </w:p>
        </w:tc>
        <w:tc>
          <w:tcPr>
            <w:tcW w:w="85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符合标准</w:t>
            </w:r>
          </w:p>
        </w:tc>
        <w:tc>
          <w:tcPr>
            <w:tcW w:w="78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c>
          <w:tcPr>
            <w:tcW w:w="843"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票据齐全</w:t>
            </w:r>
          </w:p>
        </w:tc>
        <w:tc>
          <w:tcPr>
            <w:tcW w:w="108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符合</w:t>
            </w:r>
          </w:p>
        </w:tc>
      </w:tr>
    </w:tbl>
    <w:p>
      <w:pPr>
        <w:keepNext w:val="0"/>
        <w:keepLines w:val="0"/>
        <w:pageBreakBefore w:val="0"/>
        <w:widowControl/>
        <w:kinsoku/>
        <w:wordWrap/>
        <w:overflowPunct/>
        <w:topLinePunct w:val="0"/>
        <w:autoSpaceDE/>
        <w:autoSpaceDN/>
        <w:bidi w:val="0"/>
        <w:adjustRightInd w:val="0"/>
        <w:snapToGrid w:val="0"/>
        <w:spacing w:before="157" w:beforeLines="50"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（三）项目财务管理情况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t>大英县商务和经济合作局财务管理制度健全，严格执行财务管理制度，且账务处理及时，会计核算符合规范。</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spacing w:val="-4"/>
          <w:sz w:val="32"/>
        </w:rPr>
      </w:pPr>
      <w:r>
        <w:rPr>
          <w:rFonts w:hint="eastAsia" w:ascii="Times New Roman" w:hAnsi="Times New Roman" w:eastAsia="黑体"/>
          <w:spacing w:val="-4"/>
          <w:sz w:val="32"/>
        </w:rPr>
        <w:t>三、项目实施及管理情况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仿宋_GB2312"/>
          <w:b/>
          <w:spacing w:val="-4"/>
          <w:sz w:val="32"/>
        </w:rPr>
      </w:pPr>
      <w:r>
        <w:rPr>
          <w:rFonts w:hint="eastAsia" w:ascii="Times New Roman" w:hAnsi="Times New Roman" w:eastAsia="楷体_GB2312"/>
          <w:b/>
          <w:spacing w:val="-4"/>
          <w:sz w:val="32"/>
        </w:rPr>
        <w:t>（一）项目组织架构及实施流程</w:t>
      </w:r>
    </w:p>
    <w:p>
      <w:pPr>
        <w:keepNext w:val="0"/>
        <w:keepLines w:val="0"/>
        <w:pageBreakBefore w:val="0"/>
        <w:kinsoku/>
        <w:overflowPunct/>
        <w:topLinePunct w:val="0"/>
        <w:autoSpaceDN/>
        <w:bidi w:val="0"/>
        <w:spacing w:line="590" w:lineRule="exact"/>
        <w:ind w:firstLine="627" w:firstLineChars="200"/>
        <w:rPr>
          <w:rFonts w:hint="eastAsia" w:ascii="Times New Roman" w:hAnsi="Times New Roman" w:eastAsia="仿宋"/>
          <w:spacing w:val="-4"/>
          <w:sz w:val="32"/>
          <w:szCs w:val="32"/>
        </w:rPr>
      </w:pPr>
      <w:r>
        <w:rPr>
          <w:rFonts w:hint="eastAsia" w:ascii="Times New Roman" w:hAnsi="Times New Roman" w:eastAsia="仿宋_GB2312" w:cs="仿宋_GB2312"/>
          <w:b/>
          <w:bCs/>
          <w:spacing w:val="-4"/>
          <w:sz w:val="32"/>
          <w:szCs w:val="32"/>
          <w:lang w:val="en-US" w:eastAsia="zh-CN"/>
        </w:rPr>
        <w:t>一是</w:t>
      </w:r>
      <w:r>
        <w:rPr>
          <w:rFonts w:hint="eastAsia" w:ascii="Times New Roman" w:hAnsi="Times New Roman" w:eastAsia="仿宋_GB2312" w:cs="仿宋_GB2312"/>
          <w:color w:val="000000"/>
          <w:spacing w:val="-4"/>
          <w:kern w:val="0"/>
          <w:sz w:val="32"/>
          <w:szCs w:val="32"/>
          <w:lang w:val="en-US" w:eastAsia="zh-CN" w:bidi="ar"/>
        </w:rPr>
        <w:t>通过层层筛选，</w:t>
      </w:r>
      <w:r>
        <w:rPr>
          <w:rFonts w:hint="eastAsia" w:ascii="Times New Roman" w:hAnsi="Times New Roman" w:eastAsia="仿宋_GB2312" w:cs="仿宋_GB2312"/>
          <w:spacing w:val="-4"/>
          <w:sz w:val="32"/>
          <w:szCs w:val="32"/>
          <w:lang w:val="en-US" w:eastAsia="zh-CN"/>
        </w:rPr>
        <w:t>组织</w:t>
      </w:r>
      <w:r>
        <w:rPr>
          <w:rFonts w:hint="eastAsia" w:ascii="Times New Roman" w:hAnsi="Times New Roman" w:eastAsia="仿宋_GB2312" w:cs="仿宋_GB2312"/>
          <w:spacing w:val="-4"/>
          <w:sz w:val="32"/>
          <w:szCs w:val="32"/>
        </w:rPr>
        <w:t>蜀泰化工、久大蓬莱盐化、彰骏光电</w:t>
      </w:r>
      <w:r>
        <w:rPr>
          <w:rFonts w:hint="eastAsia" w:ascii="Times New Roman" w:hAnsi="Times New Roman" w:eastAsia="仿宋_GB2312" w:cs="仿宋_GB2312"/>
          <w:spacing w:val="-4"/>
          <w:sz w:val="32"/>
          <w:szCs w:val="32"/>
          <w:lang w:val="en-US" w:eastAsia="zh-CN"/>
        </w:rPr>
        <w:t>等九家企业参展，展示内容包含锂电及新材料、电子信息、食品饮料、文化旅游等产业，充分体现大英产业特色。</w:t>
      </w:r>
      <w:r>
        <w:rPr>
          <w:rFonts w:hint="eastAsia" w:ascii="Times New Roman" w:hAnsi="Times New Roman" w:eastAsia="仿宋_GB2312" w:cs="仿宋_GB2312"/>
          <w:b/>
          <w:bCs/>
          <w:spacing w:val="-4"/>
          <w:sz w:val="32"/>
          <w:szCs w:val="32"/>
          <w:lang w:val="en-US" w:eastAsia="zh-CN"/>
        </w:rPr>
        <w:t>二是</w:t>
      </w:r>
      <w:r>
        <w:rPr>
          <w:rFonts w:hint="eastAsia" w:ascii="Times New Roman" w:hAnsi="Times New Roman" w:eastAsia="仿宋_GB2312" w:cs="仿宋_GB2312"/>
          <w:spacing w:val="-4"/>
          <w:sz w:val="32"/>
          <w:szCs w:val="32"/>
          <w:lang w:val="en-US" w:eastAsia="zh-CN"/>
        </w:rPr>
        <w:t>做好外贸企业</w:t>
      </w:r>
      <w:r>
        <w:rPr>
          <w:rFonts w:hint="eastAsia" w:ascii="Times New Roman" w:hAnsi="Times New Roman" w:eastAsia="仿宋_GB2312" w:cs="仿宋_GB2312"/>
          <w:spacing w:val="-4"/>
          <w:sz w:val="32"/>
          <w:szCs w:val="32"/>
        </w:rPr>
        <w:t>进出口的促进和服务</w:t>
      </w:r>
      <w:r>
        <w:rPr>
          <w:rFonts w:hint="eastAsia" w:ascii="Times New Roman" w:hAnsi="Times New Roman" w:eastAsia="仿宋_GB2312" w:cs="仿宋_GB2312"/>
          <w:spacing w:val="-4"/>
          <w:sz w:val="32"/>
          <w:szCs w:val="32"/>
          <w:lang w:val="en-US" w:eastAsia="zh-CN"/>
        </w:rPr>
        <w:t>工作，借助西博会平台</w:t>
      </w:r>
      <w:r>
        <w:rPr>
          <w:rFonts w:hint="eastAsia" w:ascii="Times New Roman" w:hAnsi="Times New Roman" w:eastAsia="仿宋"/>
          <w:spacing w:val="-4"/>
          <w:sz w:val="32"/>
          <w:szCs w:val="32"/>
        </w:rPr>
        <w:t>通过“大英造”的展示展销，突出优势企业和优秀产品，全面提升大英形象。</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（二）项目管理情况</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24" w:firstLineChars="200"/>
        <w:jc w:val="both"/>
        <w:textAlignment w:val="baseline"/>
        <w:rPr>
          <w:rFonts w:hint="eastAsia" w:ascii="Times New Roman" w:hAnsi="Times New Roman" w:eastAsia="仿宋"/>
          <w:spacing w:val="-4"/>
          <w:sz w:val="32"/>
          <w:szCs w:val="32"/>
        </w:rPr>
      </w:pPr>
      <w:r>
        <w:rPr>
          <w:rFonts w:hint="default" w:ascii="Times New Roman" w:hAnsi="Times New Roman" w:eastAsia="仿宋_GB2312" w:cs="Times New Roman"/>
          <w:spacing w:val="-4"/>
          <w:sz w:val="32"/>
        </w:rPr>
        <w:t>大英县商务和经济合作局</w:t>
      </w:r>
      <w:r>
        <w:rPr>
          <w:rFonts w:hint="eastAsia" w:ascii="Times New Roman" w:hAnsi="Times New Roman" w:eastAsia="仿宋_GB2312" w:cs="Times New Roman"/>
          <w:spacing w:val="-4"/>
          <w:sz w:val="32"/>
          <w:lang w:eastAsia="zh-CN"/>
        </w:rPr>
        <w:t>经济合作股按照《第十九届中国西部国际博览会大英活动方案》组织实施项目，并</w:t>
      </w:r>
      <w:r>
        <w:rPr>
          <w:rFonts w:hint="default" w:ascii="Times New Roman" w:hAnsi="Times New Roman" w:eastAsia="仿宋_GB2312" w:cs="Times New Roman"/>
          <w:spacing w:val="-4"/>
          <w:sz w:val="32"/>
        </w:rPr>
        <w:t>严格执行相关法律法规及项目管理制度。</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w:t>
      </w:r>
      <w:r>
        <w:rPr>
          <w:rFonts w:hint="eastAsia" w:ascii="Times New Roman" w:hAnsi="Times New Roman" w:eastAsia="楷体_GB2312"/>
          <w:b/>
          <w:spacing w:val="-4"/>
          <w:sz w:val="32"/>
          <w:lang w:eastAsia="zh-CN"/>
        </w:rPr>
        <w:t>三</w:t>
      </w:r>
      <w:r>
        <w:rPr>
          <w:rFonts w:hint="eastAsia" w:ascii="Times New Roman" w:hAnsi="Times New Roman" w:eastAsia="楷体_GB2312"/>
          <w:b/>
          <w:spacing w:val="-4"/>
          <w:sz w:val="32"/>
        </w:rPr>
        <w:t>）项目监管情况</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olor w:val="FF0000"/>
          <w:spacing w:val="-4"/>
          <w:sz w:val="32"/>
          <w:lang w:val="en-US" w:eastAsia="zh-CN"/>
        </w:rPr>
      </w:pPr>
      <w:r>
        <w:rPr>
          <w:rFonts w:hint="eastAsia" w:ascii="Times New Roman" w:hAnsi="Times New Roman" w:eastAsia="仿宋_GB2312"/>
          <w:color w:val="000000"/>
          <w:spacing w:val="-4"/>
          <w:sz w:val="32"/>
          <w:lang w:val="en-US" w:eastAsia="zh-CN"/>
        </w:rPr>
        <w:t>根据第十九届西博会项目推进情况拨付资金，</w:t>
      </w:r>
      <w:r>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t>大英县商务和经济合作局</w:t>
      </w:r>
      <w:r>
        <w:rPr>
          <w:rFonts w:hint="eastAsia" w:ascii="Times New Roman" w:hAnsi="Times New Roman" w:eastAsia="仿宋_GB2312"/>
          <w:color w:val="000000"/>
          <w:spacing w:val="-4"/>
          <w:sz w:val="32"/>
          <w:lang w:val="en-US" w:eastAsia="zh-CN"/>
        </w:rPr>
        <w:t>对专项资金使用方向进行监督，严格按照专项经费管理使用要求和相应项目实施方案进行支出和管理，做到专款专用，发挥效益。</w:t>
      </w:r>
    </w:p>
    <w:p>
      <w:pPr>
        <w:keepNext w:val="0"/>
        <w:keepLines w:val="0"/>
        <w:pageBreakBefore w:val="0"/>
        <w:widowControl/>
        <w:tabs>
          <w:tab w:val="left" w:pos="227"/>
        </w:tabs>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spacing w:val="-4"/>
          <w:sz w:val="32"/>
        </w:rPr>
      </w:pPr>
      <w:r>
        <w:rPr>
          <w:rFonts w:hint="eastAsia" w:ascii="Times New Roman" w:hAnsi="Times New Roman" w:eastAsia="黑体"/>
          <w:spacing w:val="-4"/>
          <w:sz w:val="32"/>
        </w:rPr>
        <w:t>四、项目绩效情况</w:t>
      </w:r>
    </w:p>
    <w:p>
      <w:pPr>
        <w:keepNext w:val="0"/>
        <w:keepLines w:val="0"/>
        <w:pageBreakBefore w:val="0"/>
        <w:widowControl/>
        <w:kinsoku/>
        <w:wordWrap/>
        <w:overflowPunct/>
        <w:topLinePunct w:val="0"/>
        <w:autoSpaceDE/>
        <w:autoSpaceDN/>
        <w:bidi w:val="0"/>
        <w:adjustRightInd w:val="0"/>
        <w:snapToGrid w:val="0"/>
        <w:spacing w:after="157" w:afterLines="50"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（一）项目完成情况</w:t>
      </w:r>
    </w:p>
    <w:tbl>
      <w:tblPr>
        <w:tblStyle w:val="12"/>
        <w:tblW w:w="84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9"/>
        <w:gridCol w:w="1440"/>
        <w:gridCol w:w="2790"/>
        <w:gridCol w:w="1215"/>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一级指标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二级指标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三级指标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指标值</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数量指标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第十九届西博会“遂宁馆”展位租金、展馆设计搭建个数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5个</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时效指标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第十九届西博会“遂宁馆”展位租金、展馆设计搭建经费支付及时率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产出指标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质量指标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展位租金、展馆设计搭建效果</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成本指标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经济成本指标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布展经费成本数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21万元</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21万元</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590" w:lineRule="exact"/>
        <w:ind w:right="0" w:rightChars="0" w:firstLine="627" w:firstLineChars="200"/>
        <w:jc w:val="both"/>
        <w:textAlignment w:val="auto"/>
        <w:outlineLvl w:val="9"/>
        <w:rPr>
          <w:rFonts w:hint="eastAsia" w:ascii="Times New Roman" w:hAnsi="Times New Roman" w:eastAsia="楷体_GB2312"/>
          <w:b/>
          <w:spacing w:val="-4"/>
          <w:sz w:val="32"/>
        </w:rPr>
      </w:pPr>
      <w:r>
        <w:rPr>
          <w:rFonts w:hint="eastAsia" w:ascii="Times New Roman" w:hAnsi="Times New Roman" w:eastAsia="楷体_GB2312"/>
          <w:b/>
          <w:spacing w:val="-4"/>
          <w:sz w:val="32"/>
          <w:lang w:eastAsia="zh-CN"/>
        </w:rPr>
        <w:t>（二）</w:t>
      </w:r>
      <w:r>
        <w:rPr>
          <w:rFonts w:hint="eastAsia" w:ascii="Times New Roman" w:hAnsi="Times New Roman" w:eastAsia="楷体_GB2312"/>
          <w:b/>
          <w:spacing w:val="-4"/>
          <w:sz w:val="32"/>
        </w:rPr>
        <w:t>项目效益情况</w:t>
      </w:r>
    </w:p>
    <w:tbl>
      <w:tblPr>
        <w:tblStyle w:val="12"/>
        <w:tblW w:w="84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9"/>
        <w:gridCol w:w="1635"/>
        <w:gridCol w:w="2745"/>
        <w:gridCol w:w="1095"/>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4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一级指标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二级指标</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三级指标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指标值</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b/>
                <w:bCs/>
                <w:i w:val="0"/>
                <w:iCs w:val="0"/>
                <w:color w:val="000000"/>
                <w:spacing w:val="-4"/>
                <w:kern w:val="0"/>
                <w:sz w:val="28"/>
                <w:szCs w:val="28"/>
                <w:u w:val="none"/>
                <w:lang w:val="en-US" w:eastAsia="zh-CN" w:bidi="ar"/>
              </w:rPr>
            </w:pPr>
            <w:r>
              <w:rPr>
                <w:rFonts w:hint="eastAsia" w:ascii="仿宋_GB2312" w:hAnsi="仿宋_GB2312" w:eastAsia="仿宋_GB2312" w:cs="仿宋_GB2312"/>
                <w:b/>
                <w:bCs/>
                <w:i w:val="0"/>
                <w:iCs w:val="0"/>
                <w:color w:val="000000"/>
                <w:spacing w:val="-4"/>
                <w:kern w:val="0"/>
                <w:sz w:val="28"/>
                <w:szCs w:val="28"/>
                <w:u w:val="none"/>
                <w:lang w:val="en-US" w:eastAsia="zh-CN" w:bidi="ar"/>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4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效益指标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经济效益指标</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第十九届西博会“遂宁馆”展位租金、展馆设计搭建引流量</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4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满意度指标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满意度指标</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服务对象满意</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仿宋_GB2312" w:eastAsia="仿宋_GB2312" w:cs="仿宋_GB2312"/>
                <w:i w:val="0"/>
                <w:iCs w:val="0"/>
                <w:color w:val="000000"/>
                <w:spacing w:val="-4"/>
                <w:kern w:val="0"/>
                <w:sz w:val="24"/>
                <w:szCs w:val="24"/>
                <w:u w:val="none"/>
                <w:lang w:val="en-US" w:eastAsia="zh-CN" w:bidi="ar"/>
              </w:rPr>
            </w:pPr>
            <w:r>
              <w:rPr>
                <w:rFonts w:hint="eastAsia" w:ascii="仿宋_GB2312" w:hAnsi="仿宋_GB2312" w:eastAsia="仿宋_GB2312" w:cs="仿宋_GB2312"/>
                <w:i w:val="0"/>
                <w:iCs w:val="0"/>
                <w:color w:val="000000"/>
                <w:spacing w:val="-4"/>
                <w:kern w:val="0"/>
                <w:sz w:val="24"/>
                <w:szCs w:val="24"/>
                <w:u w:val="none"/>
                <w:lang w:val="en-US" w:eastAsia="zh-CN" w:bidi="ar"/>
              </w:rPr>
              <w:t>98%</w:t>
            </w:r>
          </w:p>
        </w:tc>
      </w:tr>
    </w:tbl>
    <w:p>
      <w:pPr>
        <w:keepNext w:val="0"/>
        <w:keepLines w:val="0"/>
        <w:pageBreakBefore w:val="0"/>
        <w:kinsoku/>
        <w:wordWrap/>
        <w:overflowPunct/>
        <w:topLinePunct w:val="0"/>
        <w:autoSpaceDE/>
        <w:autoSpaceDN/>
        <w:bidi w:val="0"/>
        <w:adjustRightInd w:val="0"/>
        <w:snapToGrid w:val="0"/>
        <w:spacing w:line="590" w:lineRule="exact"/>
        <w:ind w:right="0" w:firstLine="624" w:firstLineChars="200"/>
        <w:jc w:val="both"/>
        <w:rPr>
          <w:rFonts w:hint="eastAsia" w:ascii="Times New Roman" w:hAnsi="Times New Roman" w:eastAsia="黑体"/>
          <w:spacing w:val="-4"/>
          <w:sz w:val="32"/>
        </w:rPr>
      </w:pPr>
      <w:r>
        <w:rPr>
          <w:rFonts w:hint="eastAsia" w:ascii="Times New Roman" w:hAnsi="Times New Roman" w:eastAsia="黑体"/>
          <w:spacing w:val="-4"/>
          <w:sz w:val="32"/>
        </w:rPr>
        <w:t>五、评价结论及建议</w:t>
      </w:r>
    </w:p>
    <w:p>
      <w:pPr>
        <w:keepNext w:val="0"/>
        <w:keepLines w:val="0"/>
        <w:pageBreakBefore w:val="0"/>
        <w:widowControl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仿宋_GB2312"/>
          <w:b/>
          <w:spacing w:val="-4"/>
          <w:sz w:val="32"/>
        </w:rPr>
      </w:pPr>
      <w:r>
        <w:rPr>
          <w:rFonts w:hint="eastAsia" w:ascii="Times New Roman" w:hAnsi="Times New Roman" w:eastAsia="楷体_GB2312"/>
          <w:b/>
          <w:spacing w:val="-4"/>
          <w:sz w:val="32"/>
        </w:rPr>
        <w:t>（一）评价结论</w:t>
      </w:r>
    </w:p>
    <w:p>
      <w:pPr>
        <w:pStyle w:val="14"/>
        <w:keepNext w:val="0"/>
        <w:keepLines w:val="0"/>
        <w:pageBreakBefore w:val="0"/>
        <w:widowControl w:val="0"/>
        <w:kinsoku/>
        <w:wordWrap/>
        <w:overflowPunct/>
        <w:topLinePunct w:val="0"/>
        <w:autoSpaceDE/>
        <w:autoSpaceDN/>
        <w:bidi w:val="0"/>
        <w:adjustRightInd w:val="0"/>
        <w:snapToGrid w:val="0"/>
        <w:spacing w:line="590" w:lineRule="exact"/>
        <w:ind w:left="0" w:right="0" w:firstLine="624" w:firstLineChars="200"/>
        <w:jc w:val="both"/>
        <w:rPr>
          <w:rFonts w:hint="eastAsia" w:ascii="Times New Roman" w:hAnsi="Times New Roman" w:eastAsia="仿宋_GB2312"/>
          <w:spacing w:val="-4"/>
          <w:sz w:val="32"/>
        </w:rPr>
      </w:pPr>
      <w:r>
        <w:rPr>
          <w:rFonts w:hint="eastAsia" w:ascii="Times New Roman" w:hAnsi="Times New Roman" w:eastAsia="仿宋_GB2312"/>
          <w:spacing w:val="-4"/>
          <w:sz w:val="32"/>
          <w:lang w:val="en-US" w:eastAsia="zh-CN"/>
        </w:rPr>
        <w:t>此次绩效评价结果为“优”等次，</w:t>
      </w:r>
      <w:r>
        <w:rPr>
          <w:rFonts w:hint="eastAsia" w:ascii="Times New Roman" w:hAnsi="Times New Roman" w:eastAsia="仿宋_GB2312" w:cs="Times New Roman"/>
          <w:b w:val="0"/>
          <w:bCs/>
          <w:color w:val="000000"/>
          <w:spacing w:val="-4"/>
          <w:sz w:val="32"/>
          <w:szCs w:val="32"/>
        </w:rPr>
        <w:t>较好地完成了项目预定目标</w:t>
      </w:r>
      <w:r>
        <w:rPr>
          <w:rFonts w:hint="eastAsia" w:ascii="Times New Roman" w:hAnsi="Times New Roman" w:eastAsia="仿宋_GB2312" w:cs="Times New Roman"/>
          <w:b w:val="0"/>
          <w:bCs/>
          <w:color w:val="000000"/>
          <w:spacing w:val="-4"/>
          <w:sz w:val="32"/>
          <w:szCs w:val="32"/>
          <w:lang w:eastAsia="zh-CN"/>
        </w:rPr>
        <w:t>，参照指标体系此次绩效评价得分为100分</w:t>
      </w:r>
      <w:r>
        <w:rPr>
          <w:rFonts w:hint="eastAsia" w:ascii="Times New Roman" w:hAnsi="Times New Roman" w:eastAsia="仿宋_GB2312" w:cs="Times New Roman"/>
          <w:b w:val="0"/>
          <w:bCs/>
          <w:color w:val="000000"/>
          <w:spacing w:val="-4"/>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right="0" w:firstLine="627" w:firstLineChars="200"/>
        <w:jc w:val="both"/>
        <w:rPr>
          <w:rFonts w:hint="default" w:ascii="Times New Roman" w:hAnsi="Times New Roman" w:eastAsia="宋体"/>
          <w:spacing w:val="-4"/>
          <w:lang w:val="en-US" w:eastAsia="zh-CN"/>
        </w:rPr>
      </w:pPr>
      <w:r>
        <w:rPr>
          <w:rFonts w:hint="eastAsia" w:ascii="Times New Roman" w:hAnsi="Times New Roman" w:eastAsia="楷体_GB2312"/>
          <w:b/>
          <w:spacing w:val="-4"/>
          <w:sz w:val="32"/>
          <w:lang w:eastAsia="zh-CN"/>
        </w:rPr>
        <w:t>（</w:t>
      </w:r>
      <w:r>
        <w:rPr>
          <w:rFonts w:hint="eastAsia" w:ascii="Times New Roman" w:hAnsi="Times New Roman" w:eastAsia="楷体_GB2312"/>
          <w:b/>
          <w:spacing w:val="-4"/>
          <w:sz w:val="32"/>
          <w:lang w:val="en-US" w:eastAsia="zh-CN"/>
        </w:rPr>
        <w:t>二</w:t>
      </w:r>
      <w:r>
        <w:rPr>
          <w:rFonts w:hint="eastAsia" w:ascii="Times New Roman" w:hAnsi="Times New Roman" w:eastAsia="楷体_GB2312"/>
          <w:b/>
          <w:spacing w:val="-4"/>
          <w:sz w:val="32"/>
          <w:lang w:eastAsia="zh-CN"/>
        </w:rPr>
        <w:t>）</w:t>
      </w:r>
      <w:r>
        <w:rPr>
          <w:rFonts w:hint="eastAsia" w:ascii="Times New Roman" w:hAnsi="Times New Roman" w:eastAsia="楷体_GB2312"/>
          <w:b/>
          <w:spacing w:val="-4"/>
          <w:sz w:val="32"/>
        </w:rPr>
        <w:t>存在的问题</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left="0" w:right="0" w:firstLine="624" w:firstLineChars="200"/>
        <w:jc w:val="both"/>
        <w:rPr>
          <w:rFonts w:hint="default" w:ascii="Times New Roman" w:hAnsi="Times New Roman" w:eastAsia="仿宋_GB2312" w:cs="仿宋_GB2312"/>
          <w:b w:val="0"/>
          <w:bCs w:val="0"/>
          <w:spacing w:val="-4"/>
          <w:sz w:val="32"/>
          <w:szCs w:val="32"/>
          <w:lang w:val="en-US" w:eastAsia="zh-CN"/>
        </w:rPr>
      </w:pPr>
      <w:r>
        <w:rPr>
          <w:rFonts w:hint="eastAsia" w:ascii="Times New Roman" w:hAnsi="Times New Roman" w:eastAsia="仿宋_GB2312" w:cs="仿宋_GB2312"/>
          <w:b w:val="0"/>
          <w:bCs w:val="0"/>
          <w:spacing w:val="-4"/>
          <w:sz w:val="32"/>
          <w:szCs w:val="32"/>
          <w:lang w:val="en-US" w:eastAsia="zh-CN"/>
        </w:rPr>
        <w:t>该专项资金为市级搭建西博会“遂宁馆”分摊资金，分摊金额不确定因素很多。</w:t>
      </w:r>
    </w:p>
    <w:p>
      <w:pPr>
        <w:pStyle w:val="14"/>
        <w:keepNext w:val="0"/>
        <w:keepLines w:val="0"/>
        <w:pageBreakBefore w:val="0"/>
        <w:widowControl w:val="0"/>
        <w:kinsoku/>
        <w:wordWrap/>
        <w:overflowPunct/>
        <w:topLinePunct w:val="0"/>
        <w:autoSpaceDN/>
        <w:bidi w:val="0"/>
        <w:adjustRightInd w:val="0"/>
        <w:snapToGrid w:val="0"/>
        <w:spacing w:line="590" w:lineRule="exact"/>
        <w:ind w:left="0" w:right="0" w:firstLine="627" w:firstLineChars="200"/>
        <w:rPr>
          <w:rFonts w:hint="eastAsia" w:ascii="Times New Roman" w:hAnsi="Times New Roman" w:eastAsia="楷体_GB2312" w:cs="Times New Roman"/>
          <w:b/>
          <w:color w:val="000000" w:themeColor="text1"/>
          <w:spacing w:val="-4"/>
          <w:kern w:val="2"/>
          <w:sz w:val="32"/>
          <w:szCs w:val="24"/>
          <w:lang w:val="en-US" w:eastAsia="zh-CN" w:bidi="ar-SA"/>
          <w14:textFill>
            <w14:solidFill>
              <w14:schemeClr w14:val="tx1"/>
            </w14:solidFill>
          </w14:textFill>
        </w:rPr>
      </w:pPr>
      <w:r>
        <w:rPr>
          <w:rFonts w:hint="eastAsia" w:ascii="Times New Roman" w:hAnsi="Times New Roman" w:eastAsia="楷体_GB2312" w:cs="Times New Roman"/>
          <w:b/>
          <w:color w:val="000000" w:themeColor="text1"/>
          <w:spacing w:val="-4"/>
          <w:kern w:val="2"/>
          <w:sz w:val="32"/>
          <w:szCs w:val="24"/>
          <w:lang w:val="en-US" w:eastAsia="zh-CN" w:bidi="ar-SA"/>
          <w14:textFill>
            <w14:solidFill>
              <w14:schemeClr w14:val="tx1"/>
            </w14:solidFill>
          </w14:textFill>
        </w:rPr>
        <w:t>（三）工作建议</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themeFill="background1"/>
        <w:kinsoku/>
        <w:wordWrap/>
        <w:overflowPunct/>
        <w:topLinePunct w:val="0"/>
        <w:autoSpaceDE/>
        <w:autoSpaceDN/>
        <w:bidi w:val="0"/>
        <w:adjustRightInd/>
        <w:snapToGrid/>
        <w:spacing w:before="0" w:beforeAutospacing="0" w:after="0" w:afterAutospacing="0" w:line="590" w:lineRule="exact"/>
        <w:ind w:left="0" w:right="0" w:firstLine="624" w:firstLineChars="200"/>
        <w:jc w:val="left"/>
        <w:textAlignment w:val="auto"/>
        <w:rPr>
          <w:rFonts w:hint="eastAsia" w:ascii="Times New Roman" w:hAnsi="Times New Roman" w:eastAsia="仿宋_GB2312"/>
          <w:b w:val="0"/>
          <w:bCs w:val="0"/>
          <w:spacing w:val="-4"/>
          <w:sz w:val="32"/>
        </w:rPr>
      </w:pPr>
      <w:r>
        <w:rPr>
          <w:rFonts w:hint="eastAsia" w:ascii="Times New Roman" w:hAnsi="Times New Roman" w:eastAsia="仿宋_GB2312"/>
          <w:b w:val="0"/>
          <w:bCs w:val="0"/>
          <w:spacing w:val="-4"/>
          <w:sz w:val="32"/>
          <w:lang w:val="en-US" w:eastAsia="zh-CN"/>
        </w:rPr>
        <w:t>西博会是每年常规国内大型展会，建议把西博会工作经费纳入预算，促进我县外经贸事业更好的发展</w:t>
      </w:r>
      <w:r>
        <w:rPr>
          <w:rFonts w:hint="eastAsia" w:ascii="Times New Roman" w:hAnsi="Times New Roman" w:eastAsia="仿宋_GB2312"/>
          <w:b w:val="0"/>
          <w:bCs w:val="0"/>
          <w:spacing w:val="-4"/>
          <w:sz w:val="32"/>
        </w:rPr>
        <w:t>。</w:t>
      </w:r>
    </w:p>
    <w:p>
      <w:pPr>
        <w:pStyle w:val="14"/>
        <w:keepNext w:val="0"/>
        <w:keepLines w:val="0"/>
        <w:pageBreakBefore w:val="0"/>
        <w:kinsoku/>
        <w:overflowPunct/>
        <w:topLinePunct w:val="0"/>
        <w:autoSpaceDN/>
        <w:bidi w:val="0"/>
        <w:spacing w:line="590" w:lineRule="exact"/>
        <w:ind w:firstLine="624" w:firstLineChars="200"/>
        <w:rPr>
          <w:rFonts w:hint="default" w:ascii="Times New Roman" w:hAnsi="Times New Roman"/>
          <w:spacing w:val="-4"/>
          <w:lang w:val="en-US" w:eastAsia="zh-CN"/>
        </w:rPr>
      </w:pPr>
    </w:p>
    <w:p>
      <w:pPr>
        <w:pStyle w:val="11"/>
        <w:keepNext w:val="0"/>
        <w:keepLines w:val="0"/>
        <w:pageBreakBefore w:val="0"/>
        <w:widowControl/>
        <w:kinsoku/>
        <w:wordWrap/>
        <w:overflowPunct/>
        <w:topLinePunct w:val="0"/>
        <w:autoSpaceDE/>
        <w:autoSpaceDN/>
        <w:bidi w:val="0"/>
        <w:adjustRightInd w:val="0"/>
        <w:snapToGrid w:val="0"/>
        <w:spacing w:after="0" w:line="590" w:lineRule="exact"/>
        <w:ind w:left="0" w:leftChars="0" w:right="0" w:rightChars="0" w:firstLine="624" w:firstLineChars="200"/>
        <w:jc w:val="both"/>
        <w:textAlignment w:val="baseline"/>
        <w:outlineLvl w:val="9"/>
        <w:rPr>
          <w:rFonts w:hint="eastAsia" w:ascii="Times New Roman" w:hAnsi="Times New Roman" w:eastAsia="仿宋_GB2312" w:cs="Times New Roman"/>
          <w:color w:val="auto"/>
          <w:spacing w:val="-4"/>
          <w:kern w:val="2"/>
          <w:sz w:val="32"/>
          <w:szCs w:val="32"/>
          <w:highlight w:val="none"/>
          <w:shd w:val="clear" w:color="auto" w:fill="auto"/>
          <w:lang w:val="en-US" w:eastAsia="zh-CN" w:bidi="ar-SA"/>
        </w:rPr>
      </w:pPr>
      <w:r>
        <w:rPr>
          <w:rFonts w:hint="eastAsia" w:ascii="Times New Roman" w:hAnsi="Times New Roman" w:eastAsia="仿宋_GB2312" w:cs="Times New Roman"/>
          <w:color w:val="auto"/>
          <w:spacing w:val="-4"/>
          <w:kern w:val="2"/>
          <w:sz w:val="32"/>
          <w:szCs w:val="32"/>
          <w:highlight w:val="none"/>
          <w:shd w:val="clear" w:color="auto" w:fill="auto"/>
          <w:lang w:val="en-US" w:eastAsia="zh-CN" w:bidi="ar-SA"/>
        </w:rPr>
        <w:t>附件：2024年县级专项预算项目支出绩效评价指标体系</w:t>
      </w: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firstLine="624" w:firstLineChars="20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firstLine="624" w:firstLineChars="200"/>
        <w:jc w:val="right"/>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p>
      <w:pPr>
        <w:rPr>
          <w:rFonts w:hint="default" w:ascii="Times New Roman" w:hAnsi="Times New Roman" w:eastAsia="仿宋_GB2312" w:cs="Times New Roman"/>
          <w:color w:val="auto"/>
          <w:spacing w:val="-4"/>
          <w:sz w:val="32"/>
          <w:szCs w:val="32"/>
          <w:highlight w:val="none"/>
          <w:u w:val="none"/>
          <w:shd w:val="clear" w:color="auto" w:fill="auto"/>
          <w:lang w:val="en-US" w:eastAsia="zh-CN"/>
        </w:rPr>
        <w:sectPr>
          <w:footerReference r:id="rId3" w:type="default"/>
          <w:pgSz w:w="11906" w:h="16838"/>
          <w:pgMar w:top="1928" w:right="1474" w:bottom="1928" w:left="1587" w:header="851" w:footer="992" w:gutter="0"/>
          <w:pgNumType w:fmt="decimal" w:start="2"/>
          <w:cols w:space="720" w:num="1"/>
          <w:rtlGutter w:val="0"/>
          <w:docGrid w:type="lines" w:linePitch="312" w:charSpace="0"/>
        </w:sect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br w:type="page"/>
      </w:r>
    </w:p>
    <w:p>
      <w:pPr>
        <w:jc w:val="both"/>
        <w:rPr>
          <w:rFonts w:hint="eastAsia" w:ascii="黑体" w:hAnsi="黑体" w:eastAsia="黑体" w:cs="黑体"/>
          <w:i w:val="0"/>
          <w:iCs w:val="0"/>
          <w:color w:val="000000"/>
          <w:kern w:val="0"/>
          <w:sz w:val="32"/>
          <w:szCs w:val="32"/>
          <w:u w:val="none"/>
          <w:lang w:val="en-US" w:eastAsia="zh-CN" w:bidi="ar"/>
        </w:rPr>
      </w:pPr>
      <w:r>
        <w:rPr>
          <w:rFonts w:hint="eastAsia" w:ascii="黑体" w:hAnsi="黑体" w:eastAsia="黑体" w:cs="黑体"/>
          <w:i w:val="0"/>
          <w:iCs w:val="0"/>
          <w:color w:val="000000"/>
          <w:kern w:val="0"/>
          <w:sz w:val="32"/>
          <w:szCs w:val="32"/>
          <w:u w:val="none"/>
          <w:lang w:val="en-US" w:eastAsia="zh-CN" w:bidi="ar"/>
        </w:rPr>
        <w:t>附件</w:t>
      </w:r>
    </w:p>
    <w:p>
      <w:pPr>
        <w:pStyle w:val="14"/>
        <w:ind w:left="0" w:leftChars="0" w:firstLine="0" w:firstLineChars="0"/>
        <w:jc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default" w:ascii="Times New Roman" w:hAnsi="Times New Roman" w:eastAsia="方正小标宋简体" w:cs="Times New Roman"/>
          <w:i w:val="0"/>
          <w:iCs w:val="0"/>
          <w:color w:val="000000"/>
          <w:kern w:val="0"/>
          <w:sz w:val="44"/>
          <w:szCs w:val="44"/>
          <w:u w:val="none"/>
          <w:lang w:val="en-US" w:eastAsia="zh-CN" w:bidi="ar"/>
        </w:rPr>
        <w:t>2024</w:t>
      </w:r>
      <w:r>
        <w:rPr>
          <w:rFonts w:hint="eastAsia" w:ascii="方正小标宋简体" w:hAnsi="方正小标宋简体" w:eastAsia="方正小标宋简体" w:cs="方正小标宋简体"/>
          <w:i w:val="0"/>
          <w:iCs w:val="0"/>
          <w:color w:val="000000"/>
          <w:kern w:val="0"/>
          <w:sz w:val="44"/>
          <w:szCs w:val="44"/>
          <w:u w:val="none"/>
          <w:lang w:val="en-US" w:eastAsia="zh-CN" w:bidi="ar"/>
        </w:rPr>
        <w:t>年县级专项预算项目支出绩效评价指标体系</w:t>
      </w:r>
    </w:p>
    <w:tbl>
      <w:tblPr>
        <w:tblStyle w:val="12"/>
        <w:tblW w:w="132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8"/>
        <w:gridCol w:w="510"/>
        <w:gridCol w:w="495"/>
        <w:gridCol w:w="675"/>
        <w:gridCol w:w="465"/>
        <w:gridCol w:w="480"/>
        <w:gridCol w:w="375"/>
        <w:gridCol w:w="1620"/>
        <w:gridCol w:w="690"/>
        <w:gridCol w:w="510"/>
        <w:gridCol w:w="495"/>
        <w:gridCol w:w="495"/>
        <w:gridCol w:w="525"/>
        <w:gridCol w:w="345"/>
        <w:gridCol w:w="1290"/>
        <w:gridCol w:w="525"/>
        <w:gridCol w:w="405"/>
        <w:gridCol w:w="420"/>
        <w:gridCol w:w="495"/>
        <w:gridCol w:w="390"/>
        <w:gridCol w:w="450"/>
        <w:gridCol w:w="735"/>
        <w:gridCol w:w="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2088"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分层分类指标</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7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指标解释</w:t>
            </w:r>
          </w:p>
        </w:tc>
        <w:tc>
          <w:tcPr>
            <w:tcW w:w="306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评分方法</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评价要点及说明</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评价属性</w:t>
            </w:r>
          </w:p>
        </w:tc>
        <w:tc>
          <w:tcPr>
            <w:tcW w:w="21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定量评价标准</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评价过程（只写扣分项的原因）</w:t>
            </w: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0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分层指标</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适用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范围</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方法归类</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计算公式</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定量评价</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国家</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标准</w:t>
            </w:r>
          </w:p>
        </w:tc>
        <w:tc>
          <w:tcPr>
            <w:tcW w:w="42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行业</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标准</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地方</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标准</w:t>
            </w:r>
          </w:p>
        </w:tc>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申报</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标准</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历史</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均值</w:t>
            </w: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0.3</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0.8</w:t>
            </w:r>
          </w:p>
        </w:tc>
        <w:tc>
          <w:tcPr>
            <w:tcW w:w="3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40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Style w:val="25"/>
                <w:lang w:val="en-US" w:eastAsia="zh-CN" w:bidi="ar"/>
              </w:rPr>
              <w:t>通用指标（20分）</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所有项目</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项目决策</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程序严密</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严密</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严密</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项目设立是否经过严格评估论证，管理制度是否健全完善</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分级评分法</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不严密</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3处及以上不严密</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2处不严密</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1处不严密</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严密</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主要查看项目设立时是否经过事前评估或可行性论证，专项资金管理办法是否健全完善</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6"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规划合理</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项目规划是否符合县委、县政府重大决策部署，是否与项目年度目标一致</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分级评分法</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不合理</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3处及以上不合理</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2处不合理</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1处不合理</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主要查看项目设立依据是否充分，符合县委、县政府重大决策部署和宏观政策规划，项目年度绩效目标与中长期规划是否一致</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结果符合</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项目实施结果是否与规划计划一致</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比率分值法</w:t>
            </w:r>
          </w:p>
        </w:tc>
        <w:tc>
          <w:tcPr>
            <w:tcW w:w="23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指标得分=项目实施结果符合规划的金额/项目总金额×100%*指标分值</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按项目法分配的项目，以所有项目点实施完成情况与规划计划情况进行对比。按因素法分配的项目和据实据效分配的项目，将资金分配方向与规划计划支持方向进行对比</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目标制定</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完整</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完整</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是否制定完整合理的绩效目标，比如数量、质量、效益及相关要求等。</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分级评分法</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不完整</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3处及以上不完整</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2处不完整</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1处不完整</w:t>
            </w:r>
          </w:p>
        </w:tc>
        <w:tc>
          <w:tcPr>
            <w:tcW w:w="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完整</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绩效目标完整、合理的得2分；未设置绩效目标不得分。</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7"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项目实施</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执行有效</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项目实施是否符合相关管理制度规定</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缺（错）项扣分法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发现一处扣0.5分，直至扣完</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0" w:hRule="atLeast"/>
        </w:trPr>
        <w:tc>
          <w:tcPr>
            <w:tcW w:w="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使用合规</w:t>
            </w:r>
          </w:p>
        </w:tc>
        <w:tc>
          <w:tcPr>
            <w:tcW w:w="4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3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项目资金使用是否符合相关的财务管理制度规定</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缺（错）项扣分法</w:t>
            </w:r>
          </w:p>
        </w:tc>
        <w:tc>
          <w:tcPr>
            <w:tcW w:w="23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发现一处扣0.5分，直至扣完</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反映项目资金整体预算执行情况</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比率分值法</w:t>
            </w:r>
          </w:p>
        </w:tc>
        <w:tc>
          <w:tcPr>
            <w:tcW w:w="23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指标得分=实际拨付下达资金/预算安排资金总额×100%*指标分值（预算安排资金总额一般采用年初预算数，若存在政策变化等因素可采用调整预算数）</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资金使用率</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反映项目点获得资金的使用情况</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分级评分法</w:t>
            </w:r>
          </w:p>
        </w:tc>
        <w:tc>
          <w:tcPr>
            <w:tcW w:w="23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7"/>
                <w:lang w:val="en-US" w:eastAsia="zh-CN" w:bidi="ar"/>
              </w:rPr>
              <w:t>指标得分=项目点实际使用资金/获得补助资金总额×100%*指标分值</w:t>
            </w:r>
            <w:r>
              <w:rPr>
                <w:rStyle w:val="28"/>
                <w:color w:val="auto"/>
                <w:lang w:val="en-US" w:eastAsia="zh-CN" w:bidi="ar"/>
              </w:rPr>
              <w:t>（后补助资金可不考核本指标）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如果不涉及的将此考核指标分数调整到预算执行率</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产出指标（40分）</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所有项目</w:t>
            </w:r>
          </w:p>
        </w:tc>
        <w:tc>
          <w:tcPr>
            <w:tcW w:w="4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第十九届西博会“遂宁馆”展位租金、展馆设计搭建个数</w:t>
            </w: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反映第十九届西博会“遂宁馆”大英展位使用个数</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缺（错）项扣分法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指标值大于或等于5个，少1个扣2分，直至扣完</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主要看大英展位实际使用个数</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质量指标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展位租金、展馆设计搭建效果</w:t>
            </w: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98%</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反映西博会“遂宁馆”设计搭建效果</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比率分值法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若设计搭建效果小于98%：指标得分=引流量/98%×100%*指标分值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若设计搭建效果大于或等于98%：指标得10分</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主要看展馆设计搭建效果的比率分值</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成本指标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布展经费成本数</w:t>
            </w: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210000</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210000</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经费成本是否小于等于21万元</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缺（错）项扣分法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发现不符合要求，扣10分</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主要查看划拨金额与申请金额是否一致</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时效指标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第十九届西博会“遂宁馆”展位租金、展馆设计搭建经费支付及时率</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资金划拨时间是否为2023年</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分级评分法</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主要查看资金划拨时间</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等线" w:hAnsi="等线" w:eastAsia="等线" w:cs="等线"/>
                <w:i w:val="0"/>
                <w:iCs w:val="0"/>
                <w:color w:val="000000"/>
                <w:sz w:val="18"/>
                <w:szCs w:val="18"/>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2024年4月后支付</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2024年3月后支付</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2024年2月后支付</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2024年1月后支付</w:t>
            </w:r>
          </w:p>
        </w:tc>
        <w:tc>
          <w:tcPr>
            <w:tcW w:w="3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2023年12月前支付</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40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效益指标（30分）</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auto"/>
                <w:kern w:val="0"/>
                <w:sz w:val="18"/>
                <w:szCs w:val="18"/>
                <w:u w:val="none"/>
                <w:lang w:val="en-US" w:eastAsia="zh-CN" w:bidi="ar"/>
              </w:rPr>
              <w:t>至少填写一栏效益</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社会效益</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FF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FF0000"/>
                <w:sz w:val="18"/>
                <w:szCs w:val="18"/>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经济效益</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第十九届西博会“遂宁馆”展位租金、展馆设计搭建引流量</w:t>
            </w: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反映西博会“遂宁馆”大英展位吸引客流量</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比率分值法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若引流量小于98%：指标得分=引流量/98%×100%*指标分值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若引流量大于或等于98%：指标得30分</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主要看吸引客流量的比率分值</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FF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FF0000"/>
                <w:sz w:val="18"/>
                <w:szCs w:val="18"/>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生态效益</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FF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满意度（10分）</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所有项目</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sz w:val="18"/>
                <w:szCs w:val="18"/>
                <w:u w:val="none"/>
              </w:rPr>
            </w:pPr>
            <w:r>
              <w:rPr>
                <w:rFonts w:hint="default" w:ascii="等线" w:hAnsi="等线" w:eastAsia="等线" w:cs="等线"/>
                <w:i w:val="0"/>
                <w:iCs w:val="0"/>
                <w:color w:val="000000"/>
                <w:kern w:val="0"/>
                <w:sz w:val="18"/>
                <w:szCs w:val="18"/>
                <w:u w:val="none"/>
                <w:lang w:val="en-US" w:eastAsia="zh-CN" w:bidi="ar"/>
              </w:rPr>
              <w:t>服务对象满意</w:t>
            </w:r>
          </w:p>
        </w:tc>
        <w:tc>
          <w:tcPr>
            <w:tcW w:w="4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反映服务对象满意度</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比率分值法</w:t>
            </w:r>
          </w:p>
        </w:tc>
        <w:tc>
          <w:tcPr>
            <w:tcW w:w="237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若服务对象满意度小于98%：指标得分=服务对象满意度/98%×100%*指标分值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若服务对象满意度大于或等于98%：指标得10分</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主要查看服务对象满意度</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bl>
    <w:p/>
    <w:p>
      <w:pPr>
        <w:rPr>
          <w:rFonts w:hint="default"/>
          <w:lang w:val="en-US" w:eastAsia="zh-CN"/>
        </w:rPr>
      </w:pPr>
      <w:bookmarkStart w:id="0" w:name="_GoBack"/>
      <w:bookmarkEnd w:id="0"/>
    </w:p>
    <w:sectPr>
      <w:footerReference r:id="rId4" w:type="default"/>
      <w:pgSz w:w="16838" w:h="11906" w:orient="landscape"/>
      <w:pgMar w:top="1587" w:right="1928" w:bottom="1474" w:left="1928" w:header="851" w:footer="992" w:gutter="0"/>
      <w:pgNumType w:fmt="decimal" w:start="7"/>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华隶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-351790</wp:posOffset>
              </wp:positionV>
              <wp:extent cx="1008380" cy="4451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08380" cy="4451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7.7pt;height:35.05pt;width:79.4pt;mso-position-horizontal:outside;mso-position-horizontal-relative:margin;z-index:251659264;mso-width-relative:page;mso-height-relative:page;" filled="f" stroked="f" coordsize="21600,21600" o:gfxdata="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BuPC71gAAAAcBAAAPAAAAAAAAAAEAIAAAACIAAABkcnMvZG93bnJl&#10;di54bWxQSwECFAAUAAAACACHTuJAiGsfTzgCAABiBAAADgAAAAAAAAABACAAAAAlAQAAZHJzL2Uy&#10;b0RvYy54bWxQSwUGAAAAAAYABgBZAQAAzwUAAAAA&#10;">
              <v:fill on="f" focussize="0,0"/>
              <v:stroke on="f" weight="0.5pt"/>
              <v:imagedata o:title=""/>
              <o:lock v:ext="edit" aspectratio="f"/>
              <v:textbox inset="0mm,0mm,0mm,0mm">
                <w:txbxContent>
                  <w:p>
                    <w:pPr>
                      <w:pStyle w:val="7"/>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-351790</wp:posOffset>
              </wp:positionV>
              <wp:extent cx="1008380" cy="4451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08380" cy="4451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7.7pt;height:35.05pt;width:79.4pt;mso-position-horizontal:outside;mso-position-horizontal-relative:margin;z-index:251660288;mso-width-relative:page;mso-height-relative:page;" filled="f" stroked="f" coordsize="21600,21600" o:gfxdata="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BuPC71gAAAAcBAAAPAAAAAAAAAAEAIAAAACIAAABkcnMvZG93bnJl&#10;di54bWxQSwECFAAUAAAACACHTuJAjogzqTgCAABiBAAADgAAAAAAAAABACAAAAAlAQAAZHJzL2Uy&#10;b0RvYy54bWxQSwUGAAAAAAYABgBZAQAAzwUAAAAA&#10;">
              <v:fill on="f" focussize="0,0"/>
              <v:stroke on="f" weight="0.5pt"/>
              <v:imagedata o:title=""/>
              <o:lock v:ext="edit" aspectratio="f"/>
              <v:textbox inset="0mm,0mm,0mm,0mm">
                <w:txbxContent>
                  <w:p>
                    <w:pPr>
                      <w:pStyle w:val="7"/>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19E4D1"/>
    <w:multiLevelType w:val="singleLevel"/>
    <w:tmpl w:val="BA19E4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531C09"/>
    <w:rsid w:val="00AA3CEC"/>
    <w:rsid w:val="01145609"/>
    <w:rsid w:val="01193968"/>
    <w:rsid w:val="01DF6163"/>
    <w:rsid w:val="02A66735"/>
    <w:rsid w:val="031A67DB"/>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8CF706E"/>
    <w:rsid w:val="19037FE5"/>
    <w:rsid w:val="19131119"/>
    <w:rsid w:val="193006AE"/>
    <w:rsid w:val="19616ABA"/>
    <w:rsid w:val="1AE33D18"/>
    <w:rsid w:val="1C095F04"/>
    <w:rsid w:val="1C4032FE"/>
    <w:rsid w:val="1D41732E"/>
    <w:rsid w:val="1D9E78F3"/>
    <w:rsid w:val="1EA21E17"/>
    <w:rsid w:val="1EB54D8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DFF63B5"/>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452F2B"/>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Plain Text"/>
    <w:basedOn w:val="1"/>
    <w:qFormat/>
    <w:uiPriority w:val="0"/>
    <w:rPr>
      <w:rFonts w:ascii="宋体" w:hAnsi="Courier New"/>
    </w:rPr>
  </w:style>
  <w:style w:type="paragraph" w:styleId="6">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7">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4"/>
    <w:autoRedefine/>
    <w:qFormat/>
    <w:uiPriority w:val="0"/>
    <w:pPr>
      <w:ind w:firstLine="420" w:firstLineChars="200"/>
    </w:pPr>
    <w:rPr>
      <w:rFonts w:ascii="Times New Roman" w:hAnsi="Times New Roman" w:eastAsia="宋体" w:cs="Times New Roman"/>
    </w:rPr>
  </w:style>
  <w:style w:type="paragraph" w:customStyle="1" w:styleId="14">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5">
    <w:name w:val="footer1"/>
    <w:basedOn w:val="1"/>
    <w:autoRedefine/>
    <w:qFormat/>
    <w:uiPriority w:val="0"/>
    <w:pPr>
      <w:tabs>
        <w:tab w:val="center" w:pos="4153"/>
        <w:tab w:val="right" w:pos="8306"/>
      </w:tabs>
      <w:snapToGrid w:val="0"/>
      <w:jc w:val="left"/>
    </w:pPr>
    <w:rPr>
      <w:sz w:val="18"/>
    </w:rPr>
  </w:style>
  <w:style w:type="paragraph" w:customStyle="1" w:styleId="16">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7">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8">
    <w:name w:val="节标题"/>
    <w:basedOn w:val="1"/>
    <w:next w:val="1"/>
    <w:autoRedefine/>
    <w:qFormat/>
    <w:uiPriority w:val="99"/>
    <w:pPr>
      <w:spacing w:line="289" w:lineRule="atLeast"/>
      <w:jc w:val="center"/>
      <w:textAlignment w:val="baseline"/>
    </w:pPr>
    <w:rPr>
      <w:color w:val="000000"/>
      <w:sz w:val="28"/>
    </w:rPr>
  </w:style>
  <w:style w:type="paragraph" w:customStyle="1" w:styleId="19">
    <w:name w:val="UserStyle_0"/>
    <w:basedOn w:val="20"/>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20">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1">
    <w:name w:val="NormalCharacter"/>
    <w:link w:val="1"/>
    <w:autoRedefine/>
    <w:semiHidden/>
    <w:qFormat/>
    <w:uiPriority w:val="0"/>
  </w:style>
  <w:style w:type="table" w:customStyle="1" w:styleId="22">
    <w:name w:val="TableNormal"/>
    <w:autoRedefine/>
    <w:semiHidden/>
    <w:qFormat/>
    <w:uiPriority w:val="0"/>
  </w:style>
  <w:style w:type="paragraph" w:customStyle="1" w:styleId="23">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 w:type="paragraph" w:customStyle="1" w:styleId="24">
    <w:name w:val="Body text|1"/>
    <w:basedOn w:val="1"/>
    <w:qFormat/>
    <w:uiPriority w:val="0"/>
    <w:pPr>
      <w:spacing w:line="451" w:lineRule="auto"/>
      <w:ind w:firstLine="400"/>
      <w:jc w:val="left"/>
    </w:pPr>
    <w:rPr>
      <w:rFonts w:ascii="宋体" w:hAnsi="宋体" w:eastAsia="宋体" w:cs="宋体"/>
      <w:sz w:val="26"/>
      <w:szCs w:val="26"/>
      <w:lang w:val="zh-TW" w:eastAsia="zh-TW" w:bidi="zh-TW"/>
    </w:rPr>
  </w:style>
  <w:style w:type="character" w:customStyle="1" w:styleId="25">
    <w:name w:val="font81"/>
    <w:basedOn w:val="13"/>
    <w:uiPriority w:val="0"/>
    <w:rPr>
      <w:rFonts w:hint="eastAsia" w:ascii="宋体" w:hAnsi="宋体" w:eastAsia="宋体" w:cs="宋体"/>
      <w:b/>
      <w:bCs/>
      <w:color w:val="000000"/>
      <w:sz w:val="18"/>
      <w:szCs w:val="18"/>
      <w:u w:val="none"/>
    </w:rPr>
  </w:style>
  <w:style w:type="character" w:customStyle="1" w:styleId="26">
    <w:name w:val="font11"/>
    <w:basedOn w:val="13"/>
    <w:uiPriority w:val="0"/>
    <w:rPr>
      <w:rFonts w:hint="eastAsia" w:ascii="宋体" w:hAnsi="宋体" w:eastAsia="宋体" w:cs="宋体"/>
      <w:b/>
      <w:bCs/>
      <w:color w:val="FF0000"/>
      <w:sz w:val="18"/>
      <w:szCs w:val="18"/>
      <w:u w:val="none"/>
    </w:rPr>
  </w:style>
  <w:style w:type="character" w:customStyle="1" w:styleId="27">
    <w:name w:val="font21"/>
    <w:basedOn w:val="13"/>
    <w:uiPriority w:val="0"/>
    <w:rPr>
      <w:rFonts w:hint="eastAsia" w:ascii="宋体" w:hAnsi="宋体" w:eastAsia="宋体" w:cs="宋体"/>
      <w:color w:val="000000"/>
      <w:sz w:val="18"/>
      <w:szCs w:val="18"/>
      <w:u w:val="none"/>
    </w:rPr>
  </w:style>
  <w:style w:type="character" w:customStyle="1" w:styleId="28">
    <w:name w:val="font01"/>
    <w:basedOn w:val="13"/>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1984</Words>
  <Characters>2096</Characters>
  <Lines>0</Lines>
  <Paragraphs>0</Paragraphs>
  <TotalTime>1</TotalTime>
  <ScaleCrop>false</ScaleCrop>
  <LinksUpToDate>false</LinksUpToDate>
  <CharactersWithSpaces>2109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2024-05-09T08:14:00Z</cp:lastPrinted>
  <dcterms:modified xsi:type="dcterms:W3CDTF">2024-05-10T02:31:55Z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0DFFA4D2F76048A988E12517CECD47E0_13</vt:lpwstr>
  </property>
</Properties>
</file>